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80" w:rsidRDefault="007C2980" w:rsidP="00BD2DF8">
      <w:pPr>
        <w:pStyle w:val="lfej"/>
        <w:tabs>
          <w:tab w:val="clear" w:pos="4536"/>
        </w:tabs>
        <w:jc w:val="center"/>
      </w:pPr>
      <w:r w:rsidRPr="005F61F9">
        <w:t>ÚTMUTATÓ</w:t>
      </w:r>
    </w:p>
    <w:p w:rsidR="00BD2DF8" w:rsidRPr="00BD2DF8" w:rsidRDefault="00BD2DF8" w:rsidP="00BD2DF8">
      <w:pPr>
        <w:pStyle w:val="lfej"/>
        <w:tabs>
          <w:tab w:val="clear" w:pos="4536"/>
        </w:tabs>
        <w:jc w:val="center"/>
        <w:rPr>
          <w:smallCaps/>
        </w:rPr>
      </w:pPr>
    </w:p>
    <w:p w:rsidR="00C31649" w:rsidRPr="005F61F9" w:rsidRDefault="00976262" w:rsidP="007C2980">
      <w:pPr>
        <w:pStyle w:val="lfej"/>
        <w:tabs>
          <w:tab w:val="clear" w:pos="4536"/>
        </w:tabs>
        <w:jc w:val="center"/>
        <w:rPr>
          <w:smallCaps/>
        </w:rPr>
      </w:pPr>
      <w:r>
        <w:br/>
      </w:r>
      <w:r w:rsidRPr="00976262">
        <w:rPr>
          <w:smallCaps/>
        </w:rPr>
        <w:t>Kerékpárút hálózat fejlesztése Gerendás-Csorvás</w:t>
      </w:r>
    </w:p>
    <w:p w:rsidR="007C2980" w:rsidRDefault="007C2980" w:rsidP="007C2980">
      <w:pPr>
        <w:pStyle w:val="lfej"/>
        <w:tabs>
          <w:tab w:val="clear" w:pos="4536"/>
        </w:tabs>
        <w:jc w:val="center"/>
        <w:rPr>
          <w:smallCaps/>
        </w:rPr>
      </w:pPr>
      <w:proofErr w:type="gramStart"/>
      <w:r w:rsidRPr="005F61F9">
        <w:rPr>
          <w:smallCaps/>
        </w:rPr>
        <w:t>tárgyú</w:t>
      </w:r>
      <w:proofErr w:type="gramEnd"/>
      <w:r w:rsidRPr="005F61F9">
        <w:rPr>
          <w:smallCaps/>
        </w:rPr>
        <w:t xml:space="preserve"> közbeszerzési eljáráshoz</w:t>
      </w:r>
    </w:p>
    <w:p w:rsidR="007C2980" w:rsidRPr="009F2F9A" w:rsidRDefault="009F2F9A" w:rsidP="009F2F9A">
      <w:pPr>
        <w:pStyle w:val="lfej"/>
        <w:tabs>
          <w:tab w:val="clear" w:pos="4536"/>
        </w:tabs>
        <w:jc w:val="center"/>
        <w:rPr>
          <w:smallCaps/>
        </w:rPr>
      </w:pPr>
      <w:r w:rsidRPr="009F2F9A">
        <w:rPr>
          <w:smallCaps/>
        </w:rPr>
        <w:t>1</w:t>
      </w:r>
      <w:proofErr w:type="gramStart"/>
      <w:r w:rsidRPr="009F2F9A">
        <w:rPr>
          <w:smallCaps/>
        </w:rPr>
        <w:t>.rész</w:t>
      </w:r>
      <w:proofErr w:type="gramEnd"/>
      <w:r w:rsidRPr="009F2F9A">
        <w:rPr>
          <w:smallCaps/>
        </w:rPr>
        <w:t xml:space="preserve"> Gerendás-Csorvás kerékpárút építése Csorváson</w:t>
      </w:r>
    </w:p>
    <w:p w:rsidR="009F2F9A" w:rsidRDefault="009F2F9A" w:rsidP="009F2F9A">
      <w:pPr>
        <w:pStyle w:val="lfej"/>
        <w:tabs>
          <w:tab w:val="clear" w:pos="4536"/>
        </w:tabs>
        <w:jc w:val="center"/>
        <w:rPr>
          <w:smallCaps/>
        </w:rPr>
      </w:pPr>
      <w:r w:rsidRPr="009F2F9A">
        <w:rPr>
          <w:smallCaps/>
        </w:rPr>
        <w:t>2</w:t>
      </w:r>
      <w:proofErr w:type="gramStart"/>
      <w:r w:rsidRPr="009F2F9A">
        <w:rPr>
          <w:smallCaps/>
        </w:rPr>
        <w:t>.rész</w:t>
      </w:r>
      <w:proofErr w:type="gramEnd"/>
      <w:r w:rsidRPr="009F2F9A">
        <w:rPr>
          <w:smallCaps/>
        </w:rPr>
        <w:t xml:space="preserve"> Gerendás-Csorvás kerékpárút építése Gerendáson</w:t>
      </w:r>
    </w:p>
    <w:p w:rsidR="009F2F9A" w:rsidRPr="009F2F9A" w:rsidRDefault="009F2F9A" w:rsidP="009F2F9A">
      <w:pPr>
        <w:pStyle w:val="lfej"/>
        <w:tabs>
          <w:tab w:val="clear" w:pos="4536"/>
        </w:tabs>
        <w:jc w:val="center"/>
        <w:rPr>
          <w:smallCaps/>
        </w:rPr>
      </w:pP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1F9">
        <w:rPr>
          <w:rFonts w:ascii="Times New Roman" w:hAnsi="Times New Roman" w:cs="Times New Roman"/>
          <w:b/>
          <w:bCs/>
          <w:sz w:val="24"/>
          <w:szCs w:val="24"/>
        </w:rPr>
        <w:t xml:space="preserve">Felhívjuk minden Ajánlattevő szíves figyelmét, hogy jelen dokumentációt alaposan és gondosan tanulmányozza át, és ajánlatát az abban leírtaknak megfelelően és pontosan állítsa össze. Az Ajánlatkérő a részletes Útmutatóval és az ehhez csatolt mellékletekkel elő kívánja segíteni, hogy érvényes ajánlat kerüljön beadásra.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980" w:rsidRPr="00E13A4A" w:rsidRDefault="007C2980" w:rsidP="007C2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4A">
        <w:rPr>
          <w:rFonts w:ascii="Times New Roman" w:hAnsi="Times New Roman" w:cs="Times New Roman"/>
          <w:sz w:val="24"/>
          <w:szCs w:val="24"/>
        </w:rPr>
        <w:t xml:space="preserve">Az ajánlatok benyújtásának határideje: </w:t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</w:r>
      <w:r w:rsidRPr="00E13A4A">
        <w:rPr>
          <w:rFonts w:ascii="Times New Roman" w:hAnsi="Times New Roman" w:cs="Times New Roman"/>
          <w:sz w:val="24"/>
          <w:szCs w:val="24"/>
        </w:rPr>
        <w:tab/>
        <w:t>201</w:t>
      </w:r>
      <w:r w:rsidR="0088356B">
        <w:rPr>
          <w:rFonts w:ascii="Times New Roman" w:hAnsi="Times New Roman" w:cs="Times New Roman"/>
          <w:sz w:val="24"/>
          <w:szCs w:val="24"/>
        </w:rPr>
        <w:t>8</w:t>
      </w:r>
      <w:r w:rsidRPr="00E13A4A">
        <w:rPr>
          <w:rFonts w:ascii="Times New Roman" w:hAnsi="Times New Roman" w:cs="Times New Roman"/>
          <w:sz w:val="24"/>
          <w:szCs w:val="24"/>
        </w:rPr>
        <w:t xml:space="preserve">. </w:t>
      </w:r>
      <w:r w:rsidR="00C31649">
        <w:rPr>
          <w:rFonts w:ascii="Times New Roman" w:hAnsi="Times New Roman" w:cs="Times New Roman"/>
          <w:sz w:val="24"/>
          <w:szCs w:val="24"/>
        </w:rPr>
        <w:t xml:space="preserve">július </w:t>
      </w:r>
      <w:r w:rsidR="00502E40">
        <w:rPr>
          <w:rFonts w:ascii="Times New Roman" w:hAnsi="Times New Roman" w:cs="Times New Roman"/>
          <w:sz w:val="24"/>
          <w:szCs w:val="24"/>
        </w:rPr>
        <w:t>1</w:t>
      </w:r>
      <w:r w:rsidR="00976262">
        <w:rPr>
          <w:rFonts w:ascii="Times New Roman" w:hAnsi="Times New Roman" w:cs="Times New Roman"/>
          <w:sz w:val="24"/>
          <w:szCs w:val="24"/>
        </w:rPr>
        <w:t>7</w:t>
      </w:r>
      <w:r w:rsidR="00E03A59">
        <w:rPr>
          <w:rFonts w:ascii="Times New Roman" w:hAnsi="Times New Roman" w:cs="Times New Roman"/>
          <w:sz w:val="24"/>
          <w:szCs w:val="24"/>
        </w:rPr>
        <w:t>.</w:t>
      </w:r>
      <w:r w:rsidR="00502E40">
        <w:rPr>
          <w:rFonts w:ascii="Times New Roman" w:hAnsi="Times New Roman" w:cs="Times New Roman"/>
          <w:sz w:val="24"/>
          <w:szCs w:val="24"/>
        </w:rPr>
        <w:t xml:space="preserve"> </w:t>
      </w:r>
      <w:r w:rsidRPr="00E13A4A">
        <w:rPr>
          <w:rFonts w:ascii="Times New Roman" w:hAnsi="Times New Roman" w:cs="Times New Roman"/>
          <w:sz w:val="24"/>
          <w:szCs w:val="24"/>
        </w:rPr>
        <w:t>1</w:t>
      </w:r>
      <w:r w:rsidR="00502E40">
        <w:rPr>
          <w:rFonts w:ascii="Times New Roman" w:hAnsi="Times New Roman" w:cs="Times New Roman"/>
          <w:sz w:val="24"/>
          <w:szCs w:val="24"/>
        </w:rPr>
        <w:t>1</w:t>
      </w:r>
      <w:r w:rsidRPr="00E13A4A">
        <w:rPr>
          <w:rFonts w:ascii="Times New Roman" w:hAnsi="Times New Roman" w:cs="Times New Roman"/>
          <w:sz w:val="24"/>
          <w:szCs w:val="24"/>
        </w:rPr>
        <w:t>:</w:t>
      </w:r>
      <w:r w:rsidR="00DE5C6A" w:rsidRPr="00E13A4A">
        <w:rPr>
          <w:rFonts w:ascii="Times New Roman" w:hAnsi="Times New Roman" w:cs="Times New Roman"/>
          <w:sz w:val="24"/>
          <w:szCs w:val="24"/>
        </w:rPr>
        <w:t>0</w:t>
      </w:r>
      <w:r w:rsidRPr="00E13A4A">
        <w:rPr>
          <w:rFonts w:ascii="Times New Roman" w:hAnsi="Times New Roman" w:cs="Times New Roman"/>
          <w:sz w:val="24"/>
          <w:szCs w:val="24"/>
        </w:rPr>
        <w:t>0 óra</w:t>
      </w:r>
    </w:p>
    <w:p w:rsidR="00390D6A" w:rsidRPr="005F61F9" w:rsidRDefault="00390D6A" w:rsidP="00390D6A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 kiegészítő tájékoztatást </w:t>
      </w:r>
      <w:r w:rsidR="00C31649">
        <w:rPr>
          <w:rFonts w:ascii="Times New Roman" w:hAnsi="Times New Roman" w:cs="Times New Roman"/>
          <w:sz w:val="24"/>
          <w:szCs w:val="24"/>
        </w:rPr>
        <w:t xml:space="preserve">az EKR rendszeren keresztül kell benyújtani </w:t>
      </w:r>
      <w:r w:rsidRPr="005F61F9">
        <w:rPr>
          <w:rFonts w:ascii="Times New Roman" w:hAnsi="Times New Roman" w:cs="Times New Roman"/>
          <w:sz w:val="24"/>
          <w:szCs w:val="24"/>
        </w:rPr>
        <w:t>olyan időpontban, hogy a kiegészítő tájékoztatás az ajánlattételt megelőző ésszerű időpontban megtörténhessen.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t>Általános rész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ajánlattevőnek az ajánlata elkészítésénél minden a dokumentációban előírt előírást, feltételt be kell tartania, az ajánlatát megfelelően kell elkészítenie. Amennyiben az eljárást megindító felhívás és a közbeszerzési dokumentumok között bármilyen eltérés tapasztalható,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abban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az esetben az eljárást megindító felhívás az irányadó.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 gazdasági szereplő részére a felhívással egyidejűleg az útmutató és a mellékelt dokumentumok is megküldésre kerülnek. 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Ajánlattevőnek viselni kell minden költséget, mely az ajánlat összeállításával és benyújtásával kapcsolatos. </w:t>
      </w:r>
    </w:p>
    <w:p w:rsidR="007C2980" w:rsidRPr="005F61F9" w:rsidRDefault="007C2980" w:rsidP="007C2980">
      <w:pPr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Ajánlattevőnek az ajánlatát </w:t>
      </w:r>
      <w:r w:rsidR="00C31649">
        <w:rPr>
          <w:rFonts w:ascii="Times New Roman" w:hAnsi="Times New Roman" w:cs="Times New Roman"/>
          <w:sz w:val="24"/>
          <w:szCs w:val="24"/>
        </w:rPr>
        <w:t xml:space="preserve">az EKR rendszerben </w:t>
      </w:r>
      <w:r w:rsidRPr="005F61F9">
        <w:rPr>
          <w:rFonts w:ascii="Times New Roman" w:hAnsi="Times New Roman" w:cs="Times New Roman"/>
          <w:sz w:val="24"/>
          <w:szCs w:val="24"/>
        </w:rPr>
        <w:t>kell elkészítenie</w:t>
      </w:r>
      <w:r w:rsidR="00C31649">
        <w:rPr>
          <w:rFonts w:ascii="Times New Roman" w:hAnsi="Times New Roman" w:cs="Times New Roman"/>
          <w:sz w:val="24"/>
          <w:szCs w:val="24"/>
        </w:rPr>
        <w:t xml:space="preserve"> és benyújtania</w:t>
      </w:r>
      <w:r w:rsidRPr="005F61F9">
        <w:rPr>
          <w:rFonts w:ascii="Times New Roman" w:hAnsi="Times New Roman" w:cs="Times New Roman"/>
          <w:sz w:val="24"/>
          <w:szCs w:val="24"/>
        </w:rPr>
        <w:t>.</w:t>
      </w:r>
    </w:p>
    <w:p w:rsidR="007C2980" w:rsidRPr="005F61F9" w:rsidRDefault="007C2980" w:rsidP="007C298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Az elkésett ajánlatokat az Ajánlatkérő nem bírálja el, azt érvénytelennek nyilvánítja. </w:t>
      </w:r>
    </w:p>
    <w:p w:rsidR="007C2980" w:rsidRPr="005F61F9" w:rsidRDefault="007C2980" w:rsidP="007C298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 közbeszerzési dokumentumok csak az ajánlat készítésére használhatók fel. Amennyiben az eljárást megindító felhívás és a közbeszerzési dokumentumok bármely eleme között ellentmondás merül fel, a felhívás tekintendő irányadónak.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ind w:left="1418"/>
        <w:jc w:val="both"/>
      </w:pPr>
      <w:r w:rsidRPr="005F61F9">
        <w:t>Az ajánlattevőnek kell viselnie minden költséget, amely az ajánlat összeállításával és benyújtásával kapcsolatos. Az ajánlatkérő a közbeszerzési dokumentumokat térítésmentesen bocsátja az ajánlattevők rendelkezésére.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ind w:left="1418"/>
        <w:jc w:val="both"/>
      </w:pPr>
      <w:r w:rsidRPr="005F61F9">
        <w:t xml:space="preserve">A Kbt. 73. § (4) bekezdése értelmében az (1) bekezdés e) pontja alapján érvénytelen az ajánlat különösen, ha nem felel meg azoknak a környezetvédelmi, szociális és munkajogi követelményeknek, amelyeket a jogszabályok vagy kötelezően alkalmazandó kollektív szerződés, illetve a 4. </w:t>
      </w:r>
      <w:r w:rsidRPr="005F61F9">
        <w:lastRenderedPageBreak/>
        <w:t>mellékletben felsorolt környezetvédelmi, szociális és munkajogi rendelkezések írnak elő.</w:t>
      </w:r>
    </w:p>
    <w:p w:rsidR="007C2980" w:rsidRPr="005F61F9" w:rsidRDefault="007C2980" w:rsidP="007C2980">
      <w:pPr>
        <w:pStyle w:val="lfej"/>
        <w:numPr>
          <w:ilvl w:val="0"/>
          <w:numId w:val="2"/>
        </w:numPr>
        <w:ind w:left="1418"/>
        <w:jc w:val="both"/>
      </w:pPr>
      <w:r w:rsidRPr="005F61F9">
        <w:t>A Kbt. 73. § (5) bekezdése alapján az ajánlatkérő a közbeszerzési dokumentumokban tájékoztatásként az alábbiak szerint közli azoknak a szervezeteknek a nevét, amelyektől az ajánlattevő tájékoztatást kaphat a (4) bekezdés szerinti azon követelményekről, amelyeknek a teljesítés során meg kell felelni.</w:t>
      </w:r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>Országos Környezetvédelmi és Természetvédelmi Főfelügyelőség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Székhely 1016 Budapest, Mészáros u. 58/</w:t>
      </w:r>
      <w:proofErr w:type="gramStart"/>
      <w:r w:rsidRPr="005F61F9">
        <w:t>a.</w:t>
      </w:r>
      <w:proofErr w:type="gramEnd"/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Postacím 1539 Budapest, Pf.: 675.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Telefon +36 1 224 9100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Fax </w:t>
      </w:r>
      <w:r w:rsidRPr="005F61F9">
        <w:tab/>
        <w:t>+36 1 224 9163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Elektronikus levélcím </w:t>
      </w:r>
      <w:r w:rsidRPr="005F61F9">
        <w:tab/>
        <w:t>orszagos@zoldhatosag.hu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Honlap </w:t>
      </w:r>
      <w:hyperlink r:id="rId7" w:history="1">
        <w:r w:rsidRPr="005F61F9">
          <w:rPr>
            <w:rStyle w:val="Hiperhivatkozs"/>
            <w:rFonts w:eastAsia="Calibri"/>
          </w:rPr>
          <w:t>http://www.orszagoszoldhatosag.gov.hu</w:t>
        </w:r>
      </w:hyperlink>
    </w:p>
    <w:p w:rsidR="007C2980" w:rsidRPr="005F61F9" w:rsidRDefault="004A2D9D" w:rsidP="007C2980">
      <w:pPr>
        <w:pStyle w:val="lfej"/>
        <w:ind w:left="1418"/>
        <w:jc w:val="both"/>
      </w:pPr>
      <w:hyperlink r:id="rId8" w:history="1">
        <w:r w:rsidR="007C2980" w:rsidRPr="005F61F9">
          <w:rPr>
            <w:rStyle w:val="Hiperhivatkozs"/>
            <w:rFonts w:eastAsia="Calibri"/>
          </w:rPr>
          <w:t>http://www.oktvf.gov.hu</w:t>
        </w:r>
      </w:hyperlink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 xml:space="preserve">Országos </w:t>
      </w:r>
      <w:proofErr w:type="spellStart"/>
      <w:r w:rsidRPr="005F61F9">
        <w:t>Tisztifőorvosi</w:t>
      </w:r>
      <w:proofErr w:type="spellEnd"/>
      <w:r w:rsidRPr="005F61F9">
        <w:t xml:space="preserve"> Hivatal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Székhely: 1097 Budapest, Albert Flórián út 2-6.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Postai cím: 1437 Budapest, Pf. 839.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Központi telefon: +36 1 476 1100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Központi telefax: +36 1 476 1390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Elektronikus levélcím: tisztifoorvos@oth.antsz.hu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Honlap: www.antsz.hu</w:t>
      </w:r>
    </w:p>
    <w:p w:rsidR="007C2980" w:rsidRPr="005F61F9" w:rsidRDefault="007C2980" w:rsidP="007C2980">
      <w:pPr>
        <w:pStyle w:val="lfej"/>
        <w:ind w:left="1418"/>
        <w:jc w:val="both"/>
      </w:pPr>
    </w:p>
    <w:p w:rsidR="007C2980" w:rsidRPr="005F61F9" w:rsidRDefault="007C2980" w:rsidP="007C2980">
      <w:pPr>
        <w:pStyle w:val="lfej"/>
        <w:ind w:left="1418"/>
        <w:jc w:val="both"/>
      </w:pPr>
      <w:r w:rsidRPr="005F61F9">
        <w:t>Nemzetgazdasági Minisztérium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Munkafelügyeleti Főosztály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1054 Budapest, Kálmán Imre u. 2.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Postacím: 1369 Budapest, Pf.: 481.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Telefon: (06 80) 204-292; (06 1) 896-3002</w:t>
      </w:r>
    </w:p>
    <w:p w:rsidR="007C2980" w:rsidRPr="005F61F9" w:rsidRDefault="007C2980" w:rsidP="007C2980">
      <w:pPr>
        <w:pStyle w:val="lfej"/>
        <w:ind w:left="1418"/>
        <w:jc w:val="both"/>
      </w:pPr>
      <w:r w:rsidRPr="005F61F9">
        <w:t>Fax: (06 1) 795-0884</w:t>
      </w:r>
    </w:p>
    <w:p w:rsidR="007C2980" w:rsidRPr="005F61F9" w:rsidRDefault="007C2980" w:rsidP="007C2980">
      <w:pPr>
        <w:pStyle w:val="lfej"/>
        <w:tabs>
          <w:tab w:val="clear" w:pos="4536"/>
          <w:tab w:val="clear" w:pos="9072"/>
        </w:tabs>
        <w:ind w:left="1418"/>
        <w:jc w:val="both"/>
        <w:rPr>
          <w:rStyle w:val="Hiperhivatkozs"/>
          <w:rFonts w:eastAsia="Calibri"/>
        </w:rPr>
      </w:pPr>
      <w:r w:rsidRPr="005F61F9">
        <w:t xml:space="preserve">Email: </w:t>
      </w:r>
      <w:hyperlink r:id="rId9" w:history="1">
        <w:r w:rsidRPr="005F61F9">
          <w:rPr>
            <w:rStyle w:val="Hiperhivatkozs"/>
            <w:rFonts w:eastAsia="Calibri"/>
          </w:rPr>
          <w:t>munkafelugyeleti-foo@ngm.gov.hu</w:t>
        </w:r>
      </w:hyperlink>
    </w:p>
    <w:p w:rsidR="00E64435" w:rsidRPr="005F61F9" w:rsidRDefault="00E64435" w:rsidP="007C2980">
      <w:pPr>
        <w:pStyle w:val="lfej"/>
        <w:tabs>
          <w:tab w:val="clear" w:pos="4536"/>
          <w:tab w:val="clear" w:pos="9072"/>
        </w:tabs>
        <w:ind w:left="1418"/>
        <w:jc w:val="both"/>
      </w:pPr>
    </w:p>
    <w:p w:rsidR="007C2980" w:rsidRPr="005F61F9" w:rsidRDefault="007C2980" w:rsidP="007C2980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Ajánlatkérő a vállalkozási szerződést az eljárás nyertes ajánlattevőjével köti meg.</w:t>
      </w:r>
    </w:p>
    <w:p w:rsidR="007C2980" w:rsidRPr="005F61F9" w:rsidRDefault="007C2980" w:rsidP="007C2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Az ajánlat összeállítására vonatkozó előírások:</w:t>
      </w:r>
    </w:p>
    <w:p w:rsidR="007C2980" w:rsidRPr="005F61F9" w:rsidRDefault="007C2980" w:rsidP="007C2980">
      <w:pPr>
        <w:spacing w:before="120" w:after="12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Ajánlattevőnek ajánlatában az alábbi táblázatban felsorolt dokumentumokat kell szerepeltetni, amennyiben a közbeszerzési dokumentumokban leírtak alapján az adott nyilatkozat, igazolás, egyéb dokumentum az ajánlattevőre, alvállalkozójára, illetőleg az erőforrást nyújtó szervezetre vonatkozik. </w:t>
      </w:r>
      <w:r w:rsidR="00C31649">
        <w:rPr>
          <w:rFonts w:ascii="Times New Roman" w:hAnsi="Times New Roman" w:cs="Times New Roman"/>
          <w:sz w:val="24"/>
          <w:szCs w:val="24"/>
        </w:rPr>
        <w:t xml:space="preserve">Amennyiben valamely nyilatkozat megtételéhez az EKR rendszerben elektronikus űrlap áll rendelkezésre, akkor az ajánlat elkészítéséhez azt kell felhasználni. </w:t>
      </w:r>
      <w:r w:rsidRPr="005F61F9">
        <w:rPr>
          <w:rFonts w:ascii="Times New Roman" w:hAnsi="Times New Roman" w:cs="Times New Roman"/>
          <w:sz w:val="24"/>
          <w:szCs w:val="24"/>
        </w:rPr>
        <w:t>Az ajánlat</w:t>
      </w:r>
      <w:r w:rsidR="00C31649">
        <w:rPr>
          <w:rFonts w:ascii="Times New Roman" w:hAnsi="Times New Roman" w:cs="Times New Roman"/>
          <w:sz w:val="24"/>
          <w:szCs w:val="24"/>
        </w:rPr>
        <w:t xml:space="preserve">hoz csatolt </w:t>
      </w:r>
      <w:r w:rsidRPr="005F61F9">
        <w:rPr>
          <w:rFonts w:ascii="Times New Roman" w:hAnsi="Times New Roman" w:cs="Times New Roman"/>
          <w:sz w:val="24"/>
          <w:szCs w:val="24"/>
        </w:rPr>
        <w:t>dokumentumoknak meg kell felelni a táblázatban részletezett tartalmi és formai követelményeknek.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F9">
        <w:rPr>
          <w:rFonts w:ascii="Times New Roman" w:hAnsi="Times New Roman" w:cs="Times New Roman"/>
          <w:bCs/>
          <w:sz w:val="24"/>
          <w:szCs w:val="24"/>
        </w:rPr>
        <w:t>Felhívjuk az ajánlattevők figyelmét, hogy a nyilatkozatokat a közbeszerzési dokumentumokban megadott iratminták tartalma szerint kötelesek megtenni, oly módon, hogy az iratminták szó szerinti alkalmazása nem kötelező, azonban a becsatolt iratnak meg kell felelnie a felhívás és a közbeszerzési dokumentumok előírásainak.</w:t>
      </w: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976"/>
        <w:gridCol w:w="2311"/>
      </w:tblGrid>
      <w:tr w:rsidR="007C2980" w:rsidRPr="005F61F9" w:rsidTr="00D54FEC">
        <w:trPr>
          <w:cantSplit/>
          <w:trHeight w:val="396"/>
          <w:tblHeader/>
        </w:trPr>
        <w:tc>
          <w:tcPr>
            <w:tcW w:w="3119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Dokumentum megnevezése</w:t>
            </w:r>
          </w:p>
        </w:tc>
        <w:tc>
          <w:tcPr>
            <w:tcW w:w="2976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Tartalmi követelmény</w:t>
            </w:r>
          </w:p>
        </w:tc>
        <w:tc>
          <w:tcPr>
            <w:tcW w:w="2311" w:type="dxa"/>
            <w:vMerge w:val="restart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Formai követelmény</w:t>
            </w:r>
          </w:p>
        </w:tc>
      </w:tr>
      <w:tr w:rsidR="007C2980" w:rsidRPr="005F61F9" w:rsidTr="00D54FEC">
        <w:trPr>
          <w:cantSplit/>
          <w:trHeight w:val="516"/>
          <w:tblHeader/>
        </w:trPr>
        <w:tc>
          <w:tcPr>
            <w:tcW w:w="3119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C34693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2980"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. Kizáró okok fenn nem állásának igazolása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C34693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nyilatkozat a Kbt. </w:t>
            </w:r>
            <w:r w:rsidR="00C34693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§ </w:t>
            </w:r>
            <w:r w:rsidR="00C34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(2) </w:t>
            </w: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szerint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502E4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502E40" w:rsidRPr="005F61F9" w:rsidRDefault="00502E40" w:rsidP="00502E40">
            <w:pPr>
              <w:spacing w:before="120" w:after="12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. Alkalmasság igazolásával kapcsolatos iratok (lehetséges, de nem kötelező az ajánlat részeként benyújtani, elegendő a Kbt. 69. § (4) bekezdése szerinti felhívás alapján csatolni).</w:t>
            </w:r>
          </w:p>
          <w:p w:rsidR="00502E40" w:rsidRDefault="00502E40" w:rsidP="00794587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Ajánlatkérő az ajánlattételi felhívásban műszaki és szakmai alkalmasság igazolására előírt igazolási mód helyett elfogadja ajánlattevő arra vonatkozó nyilatkozatát is, hogy megfelel az ajánlatkérő által előírt alkalmassági követelményeknek.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.sz</w:t>
            </w:r>
            <w:proofErr w:type="gramEnd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iratminta</w:t>
            </w:r>
          </w:p>
        </w:tc>
      </w:tr>
      <w:tr w:rsidR="00502E40" w:rsidRPr="005F61F9" w:rsidTr="00502E40">
        <w:trPr>
          <w:cantSplit/>
        </w:trPr>
        <w:tc>
          <w:tcPr>
            <w:tcW w:w="3119" w:type="dxa"/>
            <w:vAlign w:val="center"/>
          </w:tcPr>
          <w:p w:rsidR="00502E40" w:rsidRDefault="00502E4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Referenciák bemutatása</w:t>
            </w:r>
          </w:p>
        </w:tc>
        <w:tc>
          <w:tcPr>
            <w:tcW w:w="2976" w:type="dxa"/>
            <w:vAlign w:val="center"/>
          </w:tcPr>
          <w:p w:rsidR="00502E40" w:rsidRDefault="00502E40" w:rsidP="00794587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az Iratminta szerint (Ajánlatkérő az ajánlattételi felhívásban a műszaki és szakmai alkalmasság igazolására előírt igazolási mód helyett elfogadja ajánlattevő arra vonatkozó nyilatkozatát is, hogy megfelel az ajánlatkérő által előírt alkalmassági követelményeknek – </w:t>
            </w:r>
            <w:r w:rsidR="0079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.sz</w:t>
            </w:r>
            <w:proofErr w:type="gramEnd"/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 iratminta)</w:t>
            </w:r>
          </w:p>
        </w:tc>
        <w:tc>
          <w:tcPr>
            <w:tcW w:w="2311" w:type="dxa"/>
            <w:vAlign w:val="center"/>
          </w:tcPr>
          <w:p w:rsidR="00502E40" w:rsidRDefault="00502E4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</w:p>
        </w:tc>
      </w:tr>
      <w:tr w:rsidR="007C2980" w:rsidRPr="005F61F9" w:rsidTr="00D54FEC">
        <w:trPr>
          <w:cantSplit/>
        </w:trPr>
        <w:tc>
          <w:tcPr>
            <w:tcW w:w="8406" w:type="dxa"/>
            <w:gridSpan w:val="3"/>
            <w:vAlign w:val="center"/>
          </w:tcPr>
          <w:p w:rsidR="007C2980" w:rsidRPr="005F61F9" w:rsidRDefault="00502E40" w:rsidP="00D54FEC">
            <w:pPr>
              <w:spacing w:before="120" w:after="12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980" w:rsidRPr="005F61F9">
              <w:rPr>
                <w:rFonts w:ascii="Times New Roman" w:hAnsi="Times New Roman" w:cs="Times New Roman"/>
                <w:sz w:val="24"/>
                <w:szCs w:val="24"/>
              </w:rPr>
              <w:t>. Egyéb iratok</w:t>
            </w:r>
          </w:p>
        </w:tc>
      </w:tr>
      <w:tr w:rsidR="007C2980" w:rsidRPr="005F61F9" w:rsidTr="00D54FEC">
        <w:trPr>
          <w:cantSplit/>
        </w:trPr>
        <w:tc>
          <w:tcPr>
            <w:tcW w:w="3119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aláírási címpéldány, ill. aláírás-minta</w:t>
            </w:r>
          </w:p>
        </w:tc>
        <w:tc>
          <w:tcPr>
            <w:tcW w:w="2976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azon cégjegyzésre jogosult képviselőé, aki az ajánlatot aláírja, vagy annak aláírására meghatalmazást ad</w:t>
            </w:r>
          </w:p>
          <w:p w:rsidR="007C2980" w:rsidRPr="005F61F9" w:rsidRDefault="007C2980" w:rsidP="00D54FEC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(ajánlattevő / igénybe venni kívánt alvállalkozója / erőforrást, kapacitást nyújtó szervezete vonatkozásában)</w:t>
            </w:r>
          </w:p>
        </w:tc>
        <w:tc>
          <w:tcPr>
            <w:tcW w:w="2311" w:type="dxa"/>
            <w:vAlign w:val="center"/>
          </w:tcPr>
          <w:p w:rsidR="007C2980" w:rsidRPr="005F61F9" w:rsidRDefault="007C2980" w:rsidP="00D54FEC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másolatban</w:t>
            </w:r>
          </w:p>
        </w:tc>
      </w:tr>
      <w:tr w:rsidR="00D40E23" w:rsidRPr="005F61F9" w:rsidTr="00D54FEC">
        <w:trPr>
          <w:cantSplit/>
        </w:trPr>
        <w:tc>
          <w:tcPr>
            <w:tcW w:w="3119" w:type="dxa"/>
            <w:vAlign w:val="center"/>
          </w:tcPr>
          <w:p w:rsidR="00D40E23" w:rsidRPr="005F61F9" w:rsidRDefault="00D40E23" w:rsidP="00D54FEC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bCs/>
                <w:sz w:val="24"/>
                <w:szCs w:val="24"/>
              </w:rPr>
              <w:t>árazott költségvetés</w:t>
            </w:r>
          </w:p>
        </w:tc>
        <w:tc>
          <w:tcPr>
            <w:tcW w:w="2976" w:type="dxa"/>
            <w:vAlign w:val="center"/>
          </w:tcPr>
          <w:p w:rsidR="00D40E23" w:rsidRPr="00C67507" w:rsidRDefault="00C67507" w:rsidP="003E1259">
            <w:pPr>
              <w:spacing w:before="120" w:after="120" w:line="240" w:lineRule="auto"/>
              <w:ind w:left="2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07">
              <w:rPr>
                <w:rFonts w:ascii="Times New Roman" w:hAnsi="Times New Roman" w:cs="Times New Roman"/>
                <w:bCs/>
                <w:sz w:val="24"/>
                <w:szCs w:val="24"/>
              </w:rPr>
              <w:t>a kiadott árazatlan költségvetések minden sorának kitöltésével elkészítve</w:t>
            </w:r>
          </w:p>
        </w:tc>
        <w:tc>
          <w:tcPr>
            <w:tcW w:w="2311" w:type="dxa"/>
            <w:vAlign w:val="center"/>
          </w:tcPr>
          <w:p w:rsidR="00D40E23" w:rsidRPr="005F61F9" w:rsidRDefault="00D40E23" w:rsidP="00502E40">
            <w:pPr>
              <w:spacing w:before="120" w:after="12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cégszerűen aláírva</w:t>
            </w:r>
            <w:r w:rsidR="00502E40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="00502E40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502E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02E40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="00502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2E40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="00502E40">
              <w:rPr>
                <w:rFonts w:ascii="Times New Roman" w:hAnsi="Times New Roman" w:cs="Times New Roman"/>
                <w:sz w:val="24"/>
                <w:szCs w:val="24"/>
              </w:rPr>
              <w:t>) formátumban is.</w:t>
            </w:r>
          </w:p>
        </w:tc>
      </w:tr>
    </w:tbl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Közös ajánlattétel esetén az ajánlathoz csatolni kell a közös egyetemleges felelősségvállalásról szóló megállapodást másolatban, mely tartalmazza a közös ajánlattevők között a közbeszerzési eljárással kapcsolatos hatáskörök bemutatását, kijelöli azon ajánlattevőt, aki a közös ajánlattevőket az eljárás során képviseli, illetve a közös ajánlattevők nevében hatályos jognyilatkozatokat tehet. A megállapodásnak azt is tartalmaznia kell, hogy az ajánlattevők nyertességük esetére a szerződésben vállalt valamennyi kötelezettség teljesítéséért egyetemleges felelősséget vállalnak.</w:t>
      </w:r>
      <w:r w:rsidR="00C34693">
        <w:rPr>
          <w:rFonts w:ascii="Times New Roman" w:hAnsi="Times New Roman" w:cs="Times New Roman"/>
          <w:sz w:val="24"/>
          <w:szCs w:val="24"/>
        </w:rPr>
        <w:t xml:space="preserve"> </w:t>
      </w:r>
      <w:r w:rsidR="00C34693" w:rsidRPr="00C34693">
        <w:rPr>
          <w:rFonts w:ascii="Times New Roman" w:hAnsi="Times New Roman" w:cs="Times New Roman"/>
          <w:sz w:val="24"/>
          <w:szCs w:val="24"/>
        </w:rPr>
        <w:t xml:space="preserve">A meghatalmazásnak ki kell terjednie arra, hogy a közös ajánlattevők vagy részvételre jelentkezők képviseletére jogosult gazdasági szereplő adott eljárás tekintetében az </w:t>
      </w:r>
      <w:proofErr w:type="spellStart"/>
      <w:r w:rsidR="00C34693" w:rsidRPr="00C34693">
        <w:rPr>
          <w:rFonts w:ascii="Times New Roman" w:hAnsi="Times New Roman" w:cs="Times New Roman"/>
          <w:sz w:val="24"/>
          <w:szCs w:val="24"/>
        </w:rPr>
        <w:t>EKR-ben</w:t>
      </w:r>
      <w:proofErr w:type="spellEnd"/>
      <w:r w:rsidR="00C34693" w:rsidRPr="00C34693">
        <w:rPr>
          <w:rFonts w:ascii="Times New Roman" w:hAnsi="Times New Roman" w:cs="Times New Roman"/>
          <w:sz w:val="24"/>
          <w:szCs w:val="24"/>
        </w:rPr>
        <w:t xml:space="preserve"> elektronikus úton teendő nyilatkozatok megtételekor az egyes közös ajánlattevők vagy részvételre jelentkezők képviseletében eljárhat.</w:t>
      </w:r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lastRenderedPageBreak/>
        <w:t>Iratminták</w:t>
      </w:r>
    </w:p>
    <w:p w:rsidR="007C2980" w:rsidRPr="005F61F9" w:rsidRDefault="00C34693" w:rsidP="007C2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980" w:rsidRPr="005F61F9">
        <w:rPr>
          <w:rFonts w:ascii="Times New Roman" w:hAnsi="Times New Roman" w:cs="Times New Roman"/>
          <w:sz w:val="24"/>
          <w:szCs w:val="24"/>
        </w:rPr>
        <w:t xml:space="preserve">. sz. iratminta: nyilatkozat a Kbt. </w:t>
      </w:r>
      <w:r>
        <w:rPr>
          <w:rFonts w:ascii="Times New Roman" w:hAnsi="Times New Roman" w:cs="Times New Roman"/>
          <w:sz w:val="24"/>
          <w:szCs w:val="24"/>
        </w:rPr>
        <w:t>114</w:t>
      </w:r>
      <w:r w:rsidR="007C2980" w:rsidRPr="005F61F9">
        <w:rPr>
          <w:rFonts w:ascii="Times New Roman" w:hAnsi="Times New Roman" w:cs="Times New Roman"/>
          <w:sz w:val="24"/>
          <w:szCs w:val="24"/>
        </w:rPr>
        <w:t>. § (2) bekezdés alapján</w:t>
      </w:r>
    </w:p>
    <w:p w:rsidR="00794587" w:rsidRDefault="00E03A59" w:rsidP="0079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6B44">
        <w:rPr>
          <w:rFonts w:ascii="Times New Roman" w:hAnsi="Times New Roman" w:cs="Times New Roman"/>
          <w:sz w:val="24"/>
          <w:szCs w:val="24"/>
        </w:rPr>
        <w:t>. sz. iratminta:</w:t>
      </w:r>
      <w:r w:rsidR="00794587" w:rsidRPr="00794587">
        <w:rPr>
          <w:rFonts w:ascii="Times New Roman" w:hAnsi="Times New Roman" w:cs="Times New Roman"/>
          <w:sz w:val="24"/>
          <w:szCs w:val="24"/>
        </w:rPr>
        <w:t xml:space="preserve"> </w:t>
      </w:r>
      <w:r w:rsidR="00794587" w:rsidRPr="005F61F9">
        <w:rPr>
          <w:rFonts w:ascii="Times New Roman" w:hAnsi="Times New Roman" w:cs="Times New Roman"/>
          <w:sz w:val="24"/>
          <w:szCs w:val="24"/>
        </w:rPr>
        <w:t>Referenciák bemutatása</w:t>
      </w: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sz. iratminta – Nyilatkozat </w:t>
      </w:r>
      <w:r w:rsidRPr="00682E6B">
        <w:rPr>
          <w:rFonts w:ascii="Times New Roman" w:hAnsi="Times New Roman" w:cs="Times New Roman"/>
          <w:sz w:val="24"/>
          <w:szCs w:val="24"/>
        </w:rPr>
        <w:t>műszaki és szakmai alkalmasságról</w:t>
      </w:r>
    </w:p>
    <w:p w:rsidR="00716B44" w:rsidRPr="005F61F9" w:rsidRDefault="00716B44" w:rsidP="007C2980">
      <w:pPr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2980" w:rsidRPr="005F61F9" w:rsidRDefault="007C2980" w:rsidP="007C2980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5F61F9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7C2980" w:rsidRPr="005F61F9" w:rsidRDefault="007C2980" w:rsidP="007C2980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lastRenderedPageBreak/>
        <w:t>1. sz. iratminta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C2980" w:rsidRPr="005F61F9" w:rsidRDefault="007C2980" w:rsidP="007C2980">
      <w:pPr>
        <w:tabs>
          <w:tab w:val="num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5F6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közbeszerzésekről szóló 2015. évi CXLIII. törvény (Kbt.) </w:t>
      </w:r>
      <w:r w:rsidR="00883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114. § (2) alapján</w:t>
      </w:r>
    </w:p>
    <w:p w:rsidR="00390D6A" w:rsidRPr="005F61F9" w:rsidRDefault="00390D6A" w:rsidP="00390D6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587" w:rsidRPr="00794587" w:rsidRDefault="0088356B" w:rsidP="00794587">
      <w:pPr>
        <w:tabs>
          <w:tab w:val="left" w:pos="212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38" w:rsidRPr="00FF2738">
        <w:rPr>
          <w:rFonts w:ascii="Times New Roman" w:hAnsi="Times New Roman" w:cs="Times New Roman"/>
          <w:i/>
          <w:sz w:val="24"/>
          <w:szCs w:val="24"/>
        </w:rPr>
        <w:t>Kerékpárút hálózat fejlesztése Gerendás-Csorvás</w:t>
      </w:r>
    </w:p>
    <w:p w:rsidR="007C2980" w:rsidRDefault="0088356B" w:rsidP="008835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 w:rsidR="00FF2738">
        <w:rPr>
          <w:rFonts w:ascii="Times New Roman" w:hAnsi="Times New Roman" w:cs="Times New Roman"/>
          <w:i/>
          <w:sz w:val="24"/>
          <w:szCs w:val="24"/>
        </w:rPr>
        <w:t>Gerendás Község</w:t>
      </w:r>
      <w:r w:rsidR="00794587" w:rsidRPr="00794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D533E9" w:rsidRPr="005F61F9" w:rsidRDefault="00D533E9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……………………, mint a(z) ……………………………. cégjegyzésre jogosult képviselője a fenti közbeszerzési eljárás során kijelentem, hogy az általam képviselt ajánlattevővel szemben nem állnak fenn a Kbt. 62. § (1) </w:t>
      </w:r>
      <w:r w:rsidR="00055166" w:rsidRPr="005F61F9">
        <w:rPr>
          <w:rFonts w:ascii="Times New Roman" w:hAnsi="Times New Roman" w:cs="Times New Roman"/>
          <w:sz w:val="24"/>
          <w:szCs w:val="24"/>
        </w:rPr>
        <w:t>g)</w:t>
      </w:r>
      <w:proofErr w:type="spellStart"/>
      <w:r w:rsidR="00055166" w:rsidRPr="005F61F9">
        <w:rPr>
          <w:rFonts w:ascii="Times New Roman" w:hAnsi="Times New Roman" w:cs="Times New Roman"/>
          <w:sz w:val="24"/>
          <w:szCs w:val="24"/>
        </w:rPr>
        <w:t>-k</w:t>
      </w:r>
      <w:proofErr w:type="spellEnd"/>
      <w:r w:rsidR="00055166" w:rsidRPr="005F61F9">
        <w:rPr>
          <w:rFonts w:ascii="Times New Roman" w:hAnsi="Times New Roman" w:cs="Times New Roman"/>
          <w:sz w:val="24"/>
          <w:szCs w:val="24"/>
        </w:rPr>
        <w:t xml:space="preserve">), m) és q) pontjaiban </w:t>
      </w:r>
      <w:r w:rsidRPr="005F61F9">
        <w:rPr>
          <w:rFonts w:ascii="Times New Roman" w:hAnsi="Times New Roman" w:cs="Times New Roman"/>
          <w:sz w:val="24"/>
          <w:szCs w:val="24"/>
        </w:rPr>
        <w:t>felsorolt kizáró okok</w:t>
      </w:r>
      <w:r w:rsidR="00C31927">
        <w:rPr>
          <w:rFonts w:ascii="Times New Roman" w:hAnsi="Times New Roman" w:cs="Times New Roman"/>
          <w:sz w:val="24"/>
          <w:szCs w:val="24"/>
        </w:rPr>
        <w:t xml:space="preserve">, továbbá kijelentem, hogy az általunk </w:t>
      </w:r>
      <w:r w:rsidR="00C31927" w:rsidRPr="00C31927">
        <w:rPr>
          <w:rFonts w:ascii="Times New Roman" w:hAnsi="Times New Roman" w:cs="Times New Roman"/>
          <w:sz w:val="24"/>
          <w:szCs w:val="24"/>
        </w:rPr>
        <w:t>igazolni kívánt alkalmassági követelmények teljesülnek</w:t>
      </w:r>
      <w:r w:rsidRPr="005F61F9">
        <w:rPr>
          <w:rFonts w:ascii="Times New Roman" w:hAnsi="Times New Roman" w:cs="Times New Roman"/>
          <w:sz w:val="24"/>
          <w:szCs w:val="24"/>
        </w:rPr>
        <w:t>.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38" w:rsidRDefault="00FF2738" w:rsidP="00FF2738">
      <w:pPr>
        <w:rPr>
          <w:rFonts w:cs="Arial"/>
        </w:rPr>
      </w:pPr>
      <w:r>
        <w:rPr>
          <w:rFonts w:cs="Arial"/>
        </w:rPr>
        <w:t xml:space="preserve">Ajánlattal érintett </w:t>
      </w:r>
      <w:proofErr w:type="gramStart"/>
      <w:r>
        <w:rPr>
          <w:rFonts w:cs="Arial"/>
        </w:rPr>
        <w:t>rész(</w:t>
      </w:r>
      <w:proofErr w:type="spellStart"/>
      <w:proofErr w:type="gramEnd"/>
      <w:r>
        <w:rPr>
          <w:rFonts w:cs="Arial"/>
        </w:rPr>
        <w:t>ek</w:t>
      </w:r>
      <w:proofErr w:type="spellEnd"/>
      <w:r>
        <w:rPr>
          <w:rFonts w:cs="Arial"/>
        </w:rPr>
        <w:t>) sorszáma: ……………….</w:t>
      </w:r>
    </w:p>
    <w:p w:rsidR="00C34693" w:rsidRDefault="00C34693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93" w:rsidRDefault="00C34693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……….., 201</w:t>
      </w:r>
      <w:r w:rsidR="00C34693">
        <w:rPr>
          <w:rFonts w:ascii="Times New Roman" w:hAnsi="Times New Roman" w:cs="Times New Roman"/>
          <w:sz w:val="24"/>
          <w:szCs w:val="24"/>
        </w:rPr>
        <w:t>8.</w:t>
      </w:r>
      <w:r w:rsidRPr="005F61F9">
        <w:rPr>
          <w:rFonts w:ascii="Times New Roman" w:hAnsi="Times New Roman" w:cs="Times New Roman"/>
          <w:sz w:val="24"/>
          <w:szCs w:val="24"/>
        </w:rPr>
        <w:t xml:space="preserve"> ……………. 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PH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</w:r>
      <w:r w:rsidRPr="005F61F9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:rsidR="007C2980" w:rsidRPr="005F61F9" w:rsidRDefault="007C2980" w:rsidP="007C29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62F" w:rsidRDefault="00D0362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6B44" w:rsidRPr="005F61F9" w:rsidRDefault="00E03A59" w:rsidP="00716B44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bookmarkStart w:id="0" w:name="_GoBack"/>
      <w:bookmarkEnd w:id="0"/>
      <w:r w:rsidR="00716B44" w:rsidRPr="005F61F9">
        <w:rPr>
          <w:rFonts w:ascii="Times New Roman" w:hAnsi="Times New Roman" w:cs="Times New Roman"/>
          <w:b/>
          <w:sz w:val="24"/>
          <w:szCs w:val="24"/>
        </w:rPr>
        <w:t>. sz. iratminta</w:t>
      </w:r>
    </w:p>
    <w:p w:rsidR="00682E6B" w:rsidRPr="00CF183B" w:rsidRDefault="00682E6B" w:rsidP="00682E6B">
      <w:pPr>
        <w:pStyle w:val="Cmsor5"/>
        <w:tabs>
          <w:tab w:val="num" w:pos="567"/>
        </w:tabs>
        <w:jc w:val="center"/>
      </w:pPr>
      <w:r w:rsidRPr="00CF183B">
        <w:t>REFERENCIÁK ISMERTETÉSE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0"/>
        <w:gridCol w:w="3472"/>
      </w:tblGrid>
      <w:tr w:rsidR="00682E6B" w:rsidRPr="00CF183B" w:rsidTr="00365D95"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54661C" w:rsidRDefault="0054661C" w:rsidP="008066BD">
            <w:pPr>
              <w:tabs>
                <w:tab w:val="left" w:pos="3969"/>
              </w:tabs>
              <w:rPr>
                <w:rFonts w:cs="Arial"/>
                <w:b/>
                <w:bCs/>
              </w:rPr>
            </w:pPr>
          </w:p>
          <w:p w:rsidR="0054661C" w:rsidRPr="00794587" w:rsidRDefault="0054661C" w:rsidP="0054661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>Az eljárás tárgya: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738">
              <w:rPr>
                <w:rFonts w:ascii="Times New Roman" w:hAnsi="Times New Roman" w:cs="Times New Roman"/>
                <w:i/>
                <w:sz w:val="24"/>
                <w:szCs w:val="24"/>
              </w:rPr>
              <w:t>Kerékpárút hálóza</w:t>
            </w:r>
            <w:r w:rsidR="00365D9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FF2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fejlesztése Gerendás-Csorvás</w:t>
            </w:r>
          </w:p>
          <w:p w:rsidR="0054661C" w:rsidRDefault="0054661C" w:rsidP="005466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F9">
              <w:rPr>
                <w:rFonts w:ascii="Times New Roman" w:hAnsi="Times New Roman" w:cs="Times New Roman"/>
                <w:sz w:val="24"/>
                <w:szCs w:val="24"/>
              </w:rPr>
              <w:t xml:space="preserve">Ajánlatkérő: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Gerendás Község</w:t>
            </w:r>
            <w:r w:rsidRPr="00794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694D">
              <w:rPr>
                <w:rFonts w:ascii="Times New Roman" w:hAnsi="Times New Roman" w:cs="Times New Roman"/>
                <w:i/>
                <w:sz w:val="24"/>
                <w:szCs w:val="24"/>
              </w:rPr>
              <w:t>Önkormányzata</w:t>
            </w:r>
          </w:p>
          <w:p w:rsidR="0054661C" w:rsidRPr="005F61F9" w:rsidRDefault="0054661C" w:rsidP="005466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6B" w:rsidRPr="00CF183B" w:rsidRDefault="00682E6B" w:rsidP="008066BD">
            <w:pPr>
              <w:tabs>
                <w:tab w:val="left" w:pos="3969"/>
              </w:tabs>
              <w:rPr>
                <w:rFonts w:cs="Arial"/>
                <w:b/>
                <w:bCs/>
              </w:rPr>
            </w:pPr>
            <w:r w:rsidRPr="00CF183B">
              <w:rPr>
                <w:rFonts w:cs="Arial"/>
                <w:b/>
                <w:bCs/>
              </w:rPr>
              <w:t>Ajánlattevő: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682E6B" w:rsidRPr="00CF183B" w:rsidRDefault="00682E6B" w:rsidP="008066BD">
            <w:pPr>
              <w:tabs>
                <w:tab w:val="right" w:leader="underscore" w:pos="9000"/>
              </w:tabs>
              <w:rPr>
                <w:rFonts w:cs="Arial"/>
                <w:b/>
              </w:rPr>
            </w:pPr>
          </w:p>
        </w:tc>
      </w:tr>
      <w:tr w:rsidR="00682E6B" w:rsidRPr="00CF183B" w:rsidTr="00365D95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B" w:rsidRPr="00CF183B" w:rsidRDefault="00682E6B" w:rsidP="008066BD">
            <w:pPr>
              <w:tabs>
                <w:tab w:val="left" w:pos="3969"/>
              </w:tabs>
              <w:rPr>
                <w:rFonts w:cs="Arial"/>
              </w:rPr>
            </w:pPr>
            <w:r w:rsidRPr="00CF183B">
              <w:rPr>
                <w:rFonts w:cs="Arial"/>
              </w:rPr>
              <w:t>neve:</w:t>
            </w:r>
          </w:p>
          <w:p w:rsidR="00682E6B" w:rsidRPr="00CF183B" w:rsidRDefault="00682E6B" w:rsidP="008066BD">
            <w:pPr>
              <w:tabs>
                <w:tab w:val="right" w:leader="underscore" w:pos="9000"/>
              </w:tabs>
              <w:rPr>
                <w:rFonts w:cs="Arial"/>
                <w:b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6B" w:rsidRPr="00CF183B" w:rsidRDefault="00682E6B" w:rsidP="008066BD">
            <w:pPr>
              <w:tabs>
                <w:tab w:val="left" w:pos="3969"/>
              </w:tabs>
              <w:rPr>
                <w:rFonts w:cs="Arial"/>
              </w:rPr>
            </w:pPr>
            <w:r w:rsidRPr="00CF183B">
              <w:rPr>
                <w:rFonts w:cs="Arial"/>
              </w:rPr>
              <w:t>címe:</w:t>
            </w:r>
          </w:p>
        </w:tc>
      </w:tr>
    </w:tbl>
    <w:p w:rsidR="00682E6B" w:rsidRPr="00CF183B" w:rsidRDefault="00682E6B" w:rsidP="00682E6B">
      <w:pPr>
        <w:tabs>
          <w:tab w:val="left" w:pos="426"/>
        </w:tabs>
        <w:spacing w:line="360" w:lineRule="auto"/>
      </w:pPr>
      <w:r w:rsidRPr="00CF183B">
        <w:t xml:space="preserve">Alulírott, mint ajánlattevő nyilatkozattételre jogosult képviselője a fenti közbeszerzési eljárás során a 321/2015. (X.30.) Korm. rendelet 21. § (2) </w:t>
      </w:r>
      <w:r>
        <w:t xml:space="preserve">bekezdés </w:t>
      </w:r>
      <w:r w:rsidRPr="00CF183B">
        <w:t>a) pontja alapján kijelentem, hogy az eljárást megindító felhívás feladásától visszafelé számított öt év legjelentősebb építési beruházásai az alábbiak voltak: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82E6B" w:rsidRPr="00CF183B" w:rsidTr="008066BD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  <w:r w:rsidRPr="00CF183B">
              <w:t>A teljesítés ideje (kezdő és befejező időpontja év/hó/nap pontossággal) és helye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  <w:r w:rsidRPr="00CF183B">
              <w:t>A szerződést kötő másik fél megnevezése (név, cím)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  <w:r w:rsidRPr="00CF183B">
              <w:t>Az építési beruházás tárgya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  <w:r w:rsidRPr="00CF183B">
              <w:t>Az építési beruházás mennyisége</w:t>
            </w:r>
          </w:p>
        </w:tc>
      </w:tr>
      <w:tr w:rsidR="00682E6B" w:rsidRPr="00CF183B" w:rsidTr="008066BD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</w:tr>
      <w:tr w:rsidR="00682E6B" w:rsidRPr="00CF183B" w:rsidTr="008066BD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E6B" w:rsidRPr="00CF183B" w:rsidRDefault="00682E6B" w:rsidP="008066BD">
            <w:pPr>
              <w:tabs>
                <w:tab w:val="left" w:pos="426"/>
              </w:tabs>
              <w:spacing w:line="360" w:lineRule="auto"/>
            </w:pPr>
          </w:p>
        </w:tc>
      </w:tr>
    </w:tbl>
    <w:p w:rsidR="00682E6B" w:rsidRPr="00CF183B" w:rsidRDefault="00682E6B" w:rsidP="00682E6B"/>
    <w:p w:rsidR="00682E6B" w:rsidRDefault="00682E6B" w:rsidP="00682E6B">
      <w:pPr>
        <w:tabs>
          <w:tab w:val="left" w:pos="426"/>
        </w:tabs>
        <w:spacing w:line="360" w:lineRule="auto"/>
      </w:pPr>
      <w:r>
        <w:t>A teljesítés az előírásoknak és a szerződésnek megfelelően történt.</w:t>
      </w:r>
    </w:p>
    <w:p w:rsidR="0054661C" w:rsidRDefault="0054661C" w:rsidP="0054661C">
      <w:pPr>
        <w:rPr>
          <w:rFonts w:cs="Arial"/>
        </w:rPr>
      </w:pPr>
      <w:r>
        <w:rPr>
          <w:rFonts w:cs="Arial"/>
        </w:rPr>
        <w:t xml:space="preserve">Ajánlattal érintett </w:t>
      </w:r>
      <w:proofErr w:type="gramStart"/>
      <w:r>
        <w:rPr>
          <w:rFonts w:cs="Arial"/>
        </w:rPr>
        <w:t>rész(</w:t>
      </w:r>
      <w:proofErr w:type="spellStart"/>
      <w:proofErr w:type="gramEnd"/>
      <w:r>
        <w:rPr>
          <w:rFonts w:cs="Arial"/>
        </w:rPr>
        <w:t>ek</w:t>
      </w:r>
      <w:proofErr w:type="spellEnd"/>
      <w:r>
        <w:rPr>
          <w:rFonts w:cs="Arial"/>
        </w:rPr>
        <w:t>) sorszáma: ……………….</w:t>
      </w:r>
    </w:p>
    <w:p w:rsidR="00682E6B" w:rsidRPr="00CF183B" w:rsidRDefault="00682E6B" w:rsidP="00682E6B">
      <w:pPr>
        <w:rPr>
          <w:rFonts w:cs="Arial"/>
        </w:rPr>
      </w:pPr>
    </w:p>
    <w:p w:rsidR="00682E6B" w:rsidRPr="00CF183B" w:rsidRDefault="00682E6B" w:rsidP="00682E6B">
      <w:r w:rsidRPr="00CF183B">
        <w:t>Dátum</w:t>
      </w:r>
      <w:proofErr w:type="gramStart"/>
      <w:r w:rsidRPr="00CF183B">
        <w:t>: ..</w:t>
      </w:r>
      <w:proofErr w:type="gramEnd"/>
      <w:r w:rsidRPr="00CF183B">
        <w:t>.................</w:t>
      </w:r>
    </w:p>
    <w:p w:rsidR="00682E6B" w:rsidRPr="00CF183B" w:rsidRDefault="00682E6B" w:rsidP="00682E6B">
      <w:pPr>
        <w:tabs>
          <w:tab w:val="center" w:pos="6804"/>
        </w:tabs>
      </w:pPr>
      <w:r w:rsidRPr="00CF183B">
        <w:tab/>
        <w:t>...............................................</w:t>
      </w:r>
    </w:p>
    <w:p w:rsidR="00682E6B" w:rsidRPr="00CF183B" w:rsidRDefault="00682E6B" w:rsidP="00682E6B">
      <w:pPr>
        <w:tabs>
          <w:tab w:val="center" w:pos="6804"/>
        </w:tabs>
      </w:pPr>
      <w:r w:rsidRPr="00CF183B">
        <w:tab/>
      </w:r>
      <w:proofErr w:type="gramStart"/>
      <w:r w:rsidRPr="00CF183B">
        <w:t>aláírás</w:t>
      </w:r>
      <w:proofErr w:type="gramEnd"/>
    </w:p>
    <w:p w:rsidR="00716B44" w:rsidRPr="005F61F9" w:rsidRDefault="00716B44" w:rsidP="00716B44">
      <w:pPr>
        <w:rPr>
          <w:rFonts w:ascii="Times New Roman" w:hAnsi="Times New Roman" w:cs="Times New Roman"/>
          <w:sz w:val="24"/>
          <w:szCs w:val="24"/>
        </w:rPr>
      </w:pPr>
    </w:p>
    <w:p w:rsidR="00716B44" w:rsidRPr="005F61F9" w:rsidRDefault="00716B44" w:rsidP="00716B44">
      <w:pPr>
        <w:rPr>
          <w:rFonts w:ascii="Times New Roman" w:hAnsi="Times New Roman" w:cs="Times New Roman"/>
          <w:sz w:val="24"/>
          <w:szCs w:val="24"/>
        </w:rPr>
      </w:pPr>
    </w:p>
    <w:p w:rsidR="00682E6B" w:rsidRDefault="00682E6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61F9">
        <w:rPr>
          <w:rFonts w:ascii="Times New Roman" w:hAnsi="Times New Roman" w:cs="Times New Roman"/>
          <w:b/>
          <w:sz w:val="24"/>
          <w:szCs w:val="24"/>
        </w:rPr>
        <w:t>. sz. iratminta</w:t>
      </w: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F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682E6B" w:rsidRPr="005453E9" w:rsidRDefault="00682E6B" w:rsidP="00682E6B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3E9">
        <w:rPr>
          <w:rFonts w:ascii="Times New Roman" w:hAnsi="Times New Roman" w:cs="Times New Roman"/>
          <w:b/>
          <w:sz w:val="24"/>
          <w:szCs w:val="24"/>
        </w:rPr>
        <w:t>műszaki</w:t>
      </w:r>
      <w:proofErr w:type="gramEnd"/>
      <w:r w:rsidRPr="005453E9">
        <w:rPr>
          <w:rFonts w:ascii="Times New Roman" w:hAnsi="Times New Roman" w:cs="Times New Roman"/>
          <w:b/>
          <w:sz w:val="24"/>
          <w:szCs w:val="24"/>
        </w:rPr>
        <w:t xml:space="preserve"> és szakmai alkalmasságról a Kbt. 67. § (1) bekezdés vonatkozásában a 114. § (2) bekezdésében foglaltak, valamint a 321/2015. (X. 30.) Korm. rendelet 25. § (2) bekezdésének figyelembevételével</w:t>
      </w:r>
    </w:p>
    <w:p w:rsidR="00D54440" w:rsidRPr="00794587" w:rsidRDefault="00D54440" w:rsidP="00D54440">
      <w:pPr>
        <w:tabs>
          <w:tab w:val="left" w:pos="212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Az eljárás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738">
        <w:rPr>
          <w:rFonts w:ascii="Times New Roman" w:hAnsi="Times New Roman" w:cs="Times New Roman"/>
          <w:i/>
          <w:sz w:val="24"/>
          <w:szCs w:val="24"/>
        </w:rPr>
        <w:t>Kerékpárút hálózat fejlesztése Gerendás-Csorvás</w:t>
      </w:r>
    </w:p>
    <w:p w:rsidR="00D54440" w:rsidRDefault="00D54440" w:rsidP="00D5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 xml:space="preserve">Ajánlatkérő: </w:t>
      </w:r>
      <w:r>
        <w:rPr>
          <w:rFonts w:ascii="Times New Roman" w:hAnsi="Times New Roman" w:cs="Times New Roman"/>
          <w:i/>
          <w:sz w:val="24"/>
          <w:szCs w:val="24"/>
        </w:rPr>
        <w:t>Gerendás Község</w:t>
      </w:r>
      <w:r w:rsidRPr="00794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94D">
        <w:rPr>
          <w:rFonts w:ascii="Times New Roman" w:hAnsi="Times New Roman" w:cs="Times New Roman"/>
          <w:i/>
          <w:sz w:val="24"/>
          <w:szCs w:val="24"/>
        </w:rPr>
        <w:t>Önkormányzata</w:t>
      </w:r>
    </w:p>
    <w:p w:rsidR="00682E6B" w:rsidRPr="005F61F9" w:rsidRDefault="00682E6B" w:rsidP="00682E6B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F61F9">
        <w:rPr>
          <w:rFonts w:ascii="Times New Roman" w:hAnsi="Times New Roman" w:cs="Times New Roman"/>
          <w:sz w:val="24"/>
          <w:szCs w:val="24"/>
        </w:rPr>
        <w:t xml:space="preserve">, mint a(z)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5F61F9">
        <w:rPr>
          <w:rFonts w:ascii="Times New Roman" w:hAnsi="Times New Roman" w:cs="Times New Roman"/>
          <w:sz w:val="24"/>
          <w:szCs w:val="24"/>
        </w:rPr>
        <w:t xml:space="preserve">ajánlattevő nyilatkozattételre jogosult képviselője tárgyi közbeszerzési eljárásban nyilatkozom, hogy az általam képviselt vállalkozás </w:t>
      </w:r>
      <w:r w:rsidRPr="005F61F9">
        <w:rPr>
          <w:rFonts w:ascii="Times New Roman" w:hAnsi="Times New Roman" w:cs="Times New Roman"/>
          <w:b/>
          <w:sz w:val="24"/>
          <w:szCs w:val="24"/>
        </w:rPr>
        <w:t>megfelel</w:t>
      </w:r>
      <w:r w:rsidRPr="005F61F9">
        <w:rPr>
          <w:rFonts w:ascii="Times New Roman" w:hAnsi="Times New Roman" w:cs="Times New Roman"/>
          <w:sz w:val="24"/>
          <w:szCs w:val="24"/>
        </w:rPr>
        <w:t xml:space="preserve"> az ajánlatkérő által az ajánlattételi felhívás </w:t>
      </w:r>
      <w:r>
        <w:rPr>
          <w:rFonts w:ascii="Times New Roman" w:hAnsi="Times New Roman" w:cs="Times New Roman"/>
          <w:sz w:val="24"/>
          <w:szCs w:val="24"/>
        </w:rPr>
        <w:t>III.1.3)</w:t>
      </w:r>
      <w:r w:rsidRPr="005F61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 xml:space="preserve"> műszaki és szakmai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F9">
        <w:rPr>
          <w:rFonts w:ascii="Times New Roman" w:hAnsi="Times New Roman" w:cs="Times New Roman"/>
          <w:sz w:val="24"/>
          <w:szCs w:val="24"/>
        </w:rPr>
        <w:t>alkalmasság körében előírt követelményeknek.</w:t>
      </w: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D54440" w:rsidRDefault="00D54440" w:rsidP="00D54440">
      <w:pPr>
        <w:rPr>
          <w:rFonts w:cs="Arial"/>
        </w:rPr>
      </w:pPr>
      <w:r>
        <w:rPr>
          <w:rFonts w:cs="Arial"/>
        </w:rPr>
        <w:t xml:space="preserve">Ajánlattal érintett </w:t>
      </w:r>
      <w:proofErr w:type="gramStart"/>
      <w:r>
        <w:rPr>
          <w:rFonts w:cs="Arial"/>
        </w:rPr>
        <w:t>rész(</w:t>
      </w:r>
      <w:proofErr w:type="spellStart"/>
      <w:proofErr w:type="gramEnd"/>
      <w:r>
        <w:rPr>
          <w:rFonts w:cs="Arial"/>
        </w:rPr>
        <w:t>ek</w:t>
      </w:r>
      <w:proofErr w:type="spellEnd"/>
      <w:r>
        <w:rPr>
          <w:rFonts w:cs="Arial"/>
        </w:rPr>
        <w:t>) sorszáma: ……………….</w:t>
      </w: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F61F9">
        <w:rPr>
          <w:rFonts w:ascii="Times New Roman" w:hAnsi="Times New Roman" w:cs="Times New Roman"/>
          <w:sz w:val="24"/>
          <w:szCs w:val="24"/>
        </w:rPr>
        <w:t>.................</w:t>
      </w:r>
    </w:p>
    <w:p w:rsidR="00682E6B" w:rsidRPr="005F61F9" w:rsidRDefault="00682E6B" w:rsidP="00682E6B">
      <w:pPr>
        <w:rPr>
          <w:rFonts w:ascii="Times New Roman" w:hAnsi="Times New Roman" w:cs="Times New Roman"/>
          <w:sz w:val="24"/>
          <w:szCs w:val="24"/>
        </w:rPr>
      </w:pPr>
    </w:p>
    <w:p w:rsidR="00682E6B" w:rsidRPr="005F61F9" w:rsidRDefault="00682E6B" w:rsidP="00682E6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682E6B" w:rsidRPr="005F61F9" w:rsidRDefault="00682E6B" w:rsidP="00682E6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5F61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1F9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7C2980" w:rsidRPr="005F61F9" w:rsidRDefault="007C2980" w:rsidP="007C2980">
      <w:pPr>
        <w:rPr>
          <w:rFonts w:ascii="Times New Roman" w:hAnsi="Times New Roman" w:cs="Times New Roman"/>
          <w:sz w:val="24"/>
          <w:szCs w:val="24"/>
        </w:rPr>
      </w:pPr>
    </w:p>
    <w:sectPr w:rsidR="007C2980" w:rsidRPr="005F61F9" w:rsidSect="0033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8E" w:rsidRDefault="0048228E" w:rsidP="007C2980">
      <w:pPr>
        <w:spacing w:after="0" w:line="240" w:lineRule="auto"/>
      </w:pPr>
      <w:r>
        <w:separator/>
      </w:r>
    </w:p>
  </w:endnote>
  <w:endnote w:type="continuationSeparator" w:id="0">
    <w:p w:rsidR="0048228E" w:rsidRDefault="0048228E" w:rsidP="007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8E" w:rsidRDefault="0048228E" w:rsidP="007C2980">
      <w:pPr>
        <w:spacing w:after="0" w:line="240" w:lineRule="auto"/>
      </w:pPr>
      <w:r>
        <w:separator/>
      </w:r>
    </w:p>
  </w:footnote>
  <w:footnote w:type="continuationSeparator" w:id="0">
    <w:p w:rsidR="0048228E" w:rsidRDefault="0048228E" w:rsidP="007C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DB9"/>
    <w:multiLevelType w:val="hybridMultilevel"/>
    <w:tmpl w:val="C6F4FB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F7B5F"/>
    <w:multiLevelType w:val="hybridMultilevel"/>
    <w:tmpl w:val="108E60B2"/>
    <w:lvl w:ilvl="0" w:tplc="040E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">
    <w:nsid w:val="4E666A0E"/>
    <w:multiLevelType w:val="hybridMultilevel"/>
    <w:tmpl w:val="B53C5EB0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3C9D"/>
    <w:multiLevelType w:val="hybridMultilevel"/>
    <w:tmpl w:val="DE74B0F4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741A1"/>
    <w:multiLevelType w:val="hybridMultilevel"/>
    <w:tmpl w:val="FCF01F56"/>
    <w:lvl w:ilvl="0" w:tplc="6B724BB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80"/>
    <w:rsid w:val="00002FEC"/>
    <w:rsid w:val="000255BB"/>
    <w:rsid w:val="000441FB"/>
    <w:rsid w:val="00055166"/>
    <w:rsid w:val="00082804"/>
    <w:rsid w:val="000A7325"/>
    <w:rsid w:val="000B6419"/>
    <w:rsid w:val="00111CEE"/>
    <w:rsid w:val="001148ED"/>
    <w:rsid w:val="00122FA5"/>
    <w:rsid w:val="00174DB0"/>
    <w:rsid w:val="00196C49"/>
    <w:rsid w:val="001A7EA5"/>
    <w:rsid w:val="001C4B01"/>
    <w:rsid w:val="001D3703"/>
    <w:rsid w:val="001D5DBF"/>
    <w:rsid w:val="001F052A"/>
    <w:rsid w:val="00210166"/>
    <w:rsid w:val="00215945"/>
    <w:rsid w:val="002159D8"/>
    <w:rsid w:val="002235F4"/>
    <w:rsid w:val="0024140A"/>
    <w:rsid w:val="0025722A"/>
    <w:rsid w:val="00295FBF"/>
    <w:rsid w:val="002C6692"/>
    <w:rsid w:val="002E034D"/>
    <w:rsid w:val="003038E6"/>
    <w:rsid w:val="00333CBF"/>
    <w:rsid w:val="00365D95"/>
    <w:rsid w:val="003907CE"/>
    <w:rsid w:val="00390D6A"/>
    <w:rsid w:val="003A26E7"/>
    <w:rsid w:val="003B2754"/>
    <w:rsid w:val="003B3E1F"/>
    <w:rsid w:val="003E1259"/>
    <w:rsid w:val="00412CFD"/>
    <w:rsid w:val="00416CC6"/>
    <w:rsid w:val="00431D51"/>
    <w:rsid w:val="0043379B"/>
    <w:rsid w:val="004561BA"/>
    <w:rsid w:val="0048228E"/>
    <w:rsid w:val="004909F7"/>
    <w:rsid w:val="004A2D9D"/>
    <w:rsid w:val="004B4A03"/>
    <w:rsid w:val="004C0E53"/>
    <w:rsid w:val="004D2100"/>
    <w:rsid w:val="00502E40"/>
    <w:rsid w:val="0052627D"/>
    <w:rsid w:val="005301EA"/>
    <w:rsid w:val="00537DAD"/>
    <w:rsid w:val="0054661C"/>
    <w:rsid w:val="005717B9"/>
    <w:rsid w:val="0059611F"/>
    <w:rsid w:val="005B58F0"/>
    <w:rsid w:val="005C7C7E"/>
    <w:rsid w:val="005F61F9"/>
    <w:rsid w:val="0060648D"/>
    <w:rsid w:val="00631DFD"/>
    <w:rsid w:val="00682E6B"/>
    <w:rsid w:val="006A5213"/>
    <w:rsid w:val="006A694B"/>
    <w:rsid w:val="006C694D"/>
    <w:rsid w:val="006E3CD7"/>
    <w:rsid w:val="00716B44"/>
    <w:rsid w:val="00724A42"/>
    <w:rsid w:val="007476C9"/>
    <w:rsid w:val="00781977"/>
    <w:rsid w:val="00794587"/>
    <w:rsid w:val="00795AF1"/>
    <w:rsid w:val="007A0884"/>
    <w:rsid w:val="007C2980"/>
    <w:rsid w:val="00815F13"/>
    <w:rsid w:val="00827BDD"/>
    <w:rsid w:val="0088356B"/>
    <w:rsid w:val="00897F41"/>
    <w:rsid w:val="008D7672"/>
    <w:rsid w:val="008F412E"/>
    <w:rsid w:val="009577F8"/>
    <w:rsid w:val="00976262"/>
    <w:rsid w:val="009A091E"/>
    <w:rsid w:val="009E6891"/>
    <w:rsid w:val="009F2F9A"/>
    <w:rsid w:val="00A80149"/>
    <w:rsid w:val="00A914BD"/>
    <w:rsid w:val="00B100AF"/>
    <w:rsid w:val="00B15496"/>
    <w:rsid w:val="00B34B24"/>
    <w:rsid w:val="00B6103D"/>
    <w:rsid w:val="00B84C25"/>
    <w:rsid w:val="00BA17BA"/>
    <w:rsid w:val="00BA4046"/>
    <w:rsid w:val="00BD2DF8"/>
    <w:rsid w:val="00BE1EAF"/>
    <w:rsid w:val="00C31649"/>
    <w:rsid w:val="00C31927"/>
    <w:rsid w:val="00C34693"/>
    <w:rsid w:val="00C36BC7"/>
    <w:rsid w:val="00C67507"/>
    <w:rsid w:val="00C71D36"/>
    <w:rsid w:val="00C910E2"/>
    <w:rsid w:val="00CE08B1"/>
    <w:rsid w:val="00CE204C"/>
    <w:rsid w:val="00D0362F"/>
    <w:rsid w:val="00D34718"/>
    <w:rsid w:val="00D368B4"/>
    <w:rsid w:val="00D40E23"/>
    <w:rsid w:val="00D533E9"/>
    <w:rsid w:val="00D54440"/>
    <w:rsid w:val="00D76D14"/>
    <w:rsid w:val="00DE5C6A"/>
    <w:rsid w:val="00E03A59"/>
    <w:rsid w:val="00E13A4A"/>
    <w:rsid w:val="00E64435"/>
    <w:rsid w:val="00E95275"/>
    <w:rsid w:val="00ED0A2E"/>
    <w:rsid w:val="00ED4A9E"/>
    <w:rsid w:val="00F22008"/>
    <w:rsid w:val="00FB3659"/>
    <w:rsid w:val="00FE4F5C"/>
    <w:rsid w:val="00FF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2980"/>
    <w:pPr>
      <w:spacing w:after="200" w:line="276" w:lineRule="auto"/>
    </w:pPr>
  </w:style>
  <w:style w:type="paragraph" w:styleId="Cmsor5">
    <w:name w:val="heading 5"/>
    <w:basedOn w:val="Norml"/>
    <w:next w:val="Norml"/>
    <w:link w:val="Cmsor5Char"/>
    <w:uiPriority w:val="99"/>
    <w:qFormat/>
    <w:rsid w:val="00682E6B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C2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7C29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C2980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7C298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7C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C29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"/>
    <w:basedOn w:val="Bekezdsalapbettpusa"/>
    <w:rsid w:val="007C2980"/>
    <w:rPr>
      <w:vertAlign w:val="superscript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C2980"/>
    <w:rPr>
      <w:rFonts w:ascii="Calibri" w:eastAsia="Calibri" w:hAnsi="Calibri" w:cs="Calibri"/>
    </w:rPr>
  </w:style>
  <w:style w:type="table" w:styleId="Rcsostblzat">
    <w:name w:val="Table Grid"/>
    <w:basedOn w:val="Normltblzat"/>
    <w:uiPriority w:val="59"/>
    <w:rsid w:val="007C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basedOn w:val="Bekezdsalapbettpusa"/>
    <w:link w:val="Cmsor5"/>
    <w:uiPriority w:val="99"/>
    <w:rsid w:val="00682E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vf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zagoszoldhatosag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nkafelugyeleti-foo@ng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1199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szilvale</cp:lastModifiedBy>
  <cp:revision>11</cp:revision>
  <dcterms:created xsi:type="dcterms:W3CDTF">2018-06-26T18:47:00Z</dcterms:created>
  <dcterms:modified xsi:type="dcterms:W3CDTF">2018-07-06T13:30:00Z</dcterms:modified>
</cp:coreProperties>
</file>