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C31649" w:rsidRPr="005F61F9" w:rsidRDefault="00976262" w:rsidP="007C2980">
      <w:pPr>
        <w:pStyle w:val="lfej"/>
        <w:tabs>
          <w:tab w:val="clear" w:pos="4536"/>
        </w:tabs>
        <w:jc w:val="center"/>
        <w:rPr>
          <w:smallCaps/>
        </w:rPr>
      </w:pPr>
      <w:r>
        <w:br/>
      </w:r>
      <w:r w:rsidRPr="00976262">
        <w:rPr>
          <w:smallCaps/>
        </w:rPr>
        <w:t>Kerékpárút hálózat fejlesztése Gerendás-Csorvás</w:t>
      </w: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proofErr w:type="gramStart"/>
      <w:r w:rsidRPr="005F61F9">
        <w:rPr>
          <w:smallCaps/>
        </w:rPr>
        <w:t>tárgyú</w:t>
      </w:r>
      <w:proofErr w:type="gramEnd"/>
      <w:r w:rsidRPr="005F61F9">
        <w:rPr>
          <w:smallCaps/>
        </w:rPr>
        <w:t xml:space="preserve"> közbeszerzési eljáráshoz</w:t>
      </w:r>
    </w:p>
    <w:p w:rsidR="007C2980" w:rsidRPr="009F2F9A" w:rsidRDefault="009F2F9A" w:rsidP="009F2F9A">
      <w:pPr>
        <w:pStyle w:val="lfej"/>
        <w:tabs>
          <w:tab w:val="clear" w:pos="4536"/>
        </w:tabs>
        <w:jc w:val="center"/>
        <w:rPr>
          <w:smallCaps/>
        </w:rPr>
      </w:pPr>
      <w:r w:rsidRPr="009F2F9A">
        <w:rPr>
          <w:smallCaps/>
        </w:rPr>
        <w:t>1</w:t>
      </w:r>
      <w:proofErr w:type="gramStart"/>
      <w:r w:rsidRPr="009F2F9A">
        <w:rPr>
          <w:smallCaps/>
        </w:rPr>
        <w:t>.rész</w:t>
      </w:r>
      <w:proofErr w:type="gramEnd"/>
      <w:r w:rsidRPr="009F2F9A">
        <w:rPr>
          <w:smallCaps/>
        </w:rPr>
        <w:t xml:space="preserve"> Gerendás-Csorvás kerékpárút építése Csorváson</w:t>
      </w:r>
    </w:p>
    <w:p w:rsidR="009F2F9A" w:rsidRDefault="009F2F9A" w:rsidP="009F2F9A">
      <w:pPr>
        <w:pStyle w:val="lfej"/>
        <w:tabs>
          <w:tab w:val="clear" w:pos="4536"/>
        </w:tabs>
        <w:jc w:val="center"/>
        <w:rPr>
          <w:smallCaps/>
        </w:rPr>
      </w:pPr>
      <w:r w:rsidRPr="009F2F9A">
        <w:rPr>
          <w:smallCaps/>
        </w:rPr>
        <w:t>2</w:t>
      </w:r>
      <w:proofErr w:type="gramStart"/>
      <w:r w:rsidRPr="009F2F9A">
        <w:rPr>
          <w:smallCaps/>
        </w:rPr>
        <w:t>.rész</w:t>
      </w:r>
      <w:proofErr w:type="gramEnd"/>
      <w:r w:rsidRPr="009F2F9A">
        <w:rPr>
          <w:smallCaps/>
        </w:rPr>
        <w:t xml:space="preserve"> Gerendás-Csorvás kerékpárút építése Gerendáson</w:t>
      </w:r>
    </w:p>
    <w:p w:rsidR="009F2F9A" w:rsidRPr="009F2F9A" w:rsidRDefault="009F2F9A" w:rsidP="009F2F9A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  <w:t>201</w:t>
      </w:r>
      <w:r w:rsidR="0088356B">
        <w:rPr>
          <w:rFonts w:ascii="Times New Roman" w:hAnsi="Times New Roman" w:cs="Times New Roman"/>
          <w:sz w:val="24"/>
          <w:szCs w:val="24"/>
        </w:rPr>
        <w:t>8</w:t>
      </w:r>
      <w:r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="00C31649">
        <w:rPr>
          <w:rFonts w:ascii="Times New Roman" w:hAnsi="Times New Roman" w:cs="Times New Roman"/>
          <w:sz w:val="24"/>
          <w:szCs w:val="24"/>
        </w:rPr>
        <w:t xml:space="preserve">július </w:t>
      </w:r>
      <w:r w:rsidR="00502E40">
        <w:rPr>
          <w:rFonts w:ascii="Times New Roman" w:hAnsi="Times New Roman" w:cs="Times New Roman"/>
          <w:sz w:val="24"/>
          <w:szCs w:val="24"/>
        </w:rPr>
        <w:t>1</w:t>
      </w:r>
      <w:r w:rsidR="00976262">
        <w:rPr>
          <w:rFonts w:ascii="Times New Roman" w:hAnsi="Times New Roman" w:cs="Times New Roman"/>
          <w:sz w:val="24"/>
          <w:szCs w:val="24"/>
        </w:rPr>
        <w:t>7</w:t>
      </w:r>
      <w:r w:rsidR="00E03A59">
        <w:rPr>
          <w:rFonts w:ascii="Times New Roman" w:hAnsi="Times New Roman" w:cs="Times New Roman"/>
          <w:sz w:val="24"/>
          <w:szCs w:val="24"/>
        </w:rPr>
        <w:t>.</w:t>
      </w:r>
      <w:r w:rsidR="00502E40">
        <w:rPr>
          <w:rFonts w:ascii="Times New Roman" w:hAnsi="Times New Roman" w:cs="Times New Roman"/>
          <w:sz w:val="24"/>
          <w:szCs w:val="24"/>
        </w:rPr>
        <w:t xml:space="preserve"> </w:t>
      </w:r>
      <w:r w:rsidRPr="00E13A4A">
        <w:rPr>
          <w:rFonts w:ascii="Times New Roman" w:hAnsi="Times New Roman" w:cs="Times New Roman"/>
          <w:sz w:val="24"/>
          <w:szCs w:val="24"/>
        </w:rPr>
        <w:t>1</w:t>
      </w:r>
      <w:r w:rsidR="00502E40">
        <w:rPr>
          <w:rFonts w:ascii="Times New Roman" w:hAnsi="Times New Roman" w:cs="Times New Roman"/>
          <w:sz w:val="24"/>
          <w:szCs w:val="24"/>
        </w:rPr>
        <w:t>1</w:t>
      </w:r>
      <w:r w:rsidRPr="00E13A4A">
        <w:rPr>
          <w:rFonts w:ascii="Times New Roman" w:hAnsi="Times New Roman" w:cs="Times New Roman"/>
          <w:sz w:val="24"/>
          <w:szCs w:val="24"/>
        </w:rPr>
        <w:t>:</w:t>
      </w:r>
      <w:r w:rsidR="00DE5C6A" w:rsidRPr="00E13A4A">
        <w:rPr>
          <w:rFonts w:ascii="Times New Roman" w:hAnsi="Times New Roman" w:cs="Times New Roman"/>
          <w:sz w:val="24"/>
          <w:szCs w:val="24"/>
        </w:rPr>
        <w:t>0</w:t>
      </w:r>
      <w:r w:rsidRPr="00E13A4A">
        <w:rPr>
          <w:rFonts w:ascii="Times New Roman" w:hAnsi="Times New Roman" w:cs="Times New Roman"/>
          <w:sz w:val="24"/>
          <w:szCs w:val="24"/>
        </w:rPr>
        <w:t>0 óra</w:t>
      </w:r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kiegészítő tájékoztatást </w:t>
      </w:r>
      <w:r w:rsidR="00C31649">
        <w:rPr>
          <w:rFonts w:ascii="Times New Roman" w:hAnsi="Times New Roman" w:cs="Times New Roman"/>
          <w:sz w:val="24"/>
          <w:szCs w:val="24"/>
        </w:rPr>
        <w:t xml:space="preserve">az EKR rendszeren keresztül kell benyújtani </w:t>
      </w:r>
      <w:r w:rsidRPr="005F61F9">
        <w:rPr>
          <w:rFonts w:ascii="Times New Roman" w:hAnsi="Times New Roman" w:cs="Times New Roman"/>
          <w:sz w:val="24"/>
          <w:szCs w:val="24"/>
        </w:rPr>
        <w:t>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abban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</w:t>
      </w:r>
      <w:r w:rsidR="00C31649">
        <w:rPr>
          <w:rFonts w:ascii="Times New Roman" w:hAnsi="Times New Roman" w:cs="Times New Roman"/>
          <w:sz w:val="24"/>
          <w:szCs w:val="24"/>
        </w:rPr>
        <w:t xml:space="preserve">az EKR rendszerben </w:t>
      </w:r>
      <w:r w:rsidRPr="005F61F9">
        <w:rPr>
          <w:rFonts w:ascii="Times New Roman" w:hAnsi="Times New Roman" w:cs="Times New Roman"/>
          <w:sz w:val="24"/>
          <w:szCs w:val="24"/>
        </w:rPr>
        <w:t>kell elkészítenie</w:t>
      </w:r>
      <w:r w:rsidR="00C31649">
        <w:rPr>
          <w:rFonts w:ascii="Times New Roman" w:hAnsi="Times New Roman" w:cs="Times New Roman"/>
          <w:sz w:val="24"/>
          <w:szCs w:val="24"/>
        </w:rPr>
        <w:t xml:space="preserve"> és benyújtania</w:t>
      </w:r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 xml:space="preserve"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</w:t>
      </w:r>
      <w:r w:rsidRPr="005F61F9">
        <w:lastRenderedPageBreak/>
        <w:t>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</w:t>
      </w:r>
      <w:proofErr w:type="gramStart"/>
      <w:r w:rsidRPr="005F61F9">
        <w:t>a.</w:t>
      </w:r>
      <w:proofErr w:type="gramEnd"/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4A2D9D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Országos </w:t>
      </w:r>
      <w:proofErr w:type="spellStart"/>
      <w:r w:rsidRPr="005F61F9">
        <w:t>Tisztifőorvosi</w:t>
      </w:r>
      <w:proofErr w:type="spellEnd"/>
      <w:r w:rsidRPr="005F61F9">
        <w:t xml:space="preserve">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</w:t>
      </w:r>
      <w:r w:rsidR="00C31649">
        <w:rPr>
          <w:rFonts w:ascii="Times New Roman" w:hAnsi="Times New Roman" w:cs="Times New Roman"/>
          <w:sz w:val="24"/>
          <w:szCs w:val="24"/>
        </w:rPr>
        <w:t xml:space="preserve">Amennyiben valamely nyilatkozat megtételéhez az EKR rendszerben elektronikus űrlap áll rendelkezésre, akkor az ajánlat elkészítéséhez azt kell felhasználni. </w:t>
      </w:r>
      <w:r w:rsidRPr="005F61F9">
        <w:rPr>
          <w:rFonts w:ascii="Times New Roman" w:hAnsi="Times New Roman" w:cs="Times New Roman"/>
          <w:sz w:val="24"/>
          <w:szCs w:val="24"/>
        </w:rPr>
        <w:t>Az ajánlat</w:t>
      </w:r>
      <w:r w:rsidR="00C31649">
        <w:rPr>
          <w:rFonts w:ascii="Times New Roman" w:hAnsi="Times New Roman" w:cs="Times New Roman"/>
          <w:sz w:val="24"/>
          <w:szCs w:val="24"/>
        </w:rPr>
        <w:t xml:space="preserve">hoz csatolt </w:t>
      </w:r>
      <w:r w:rsidRPr="005F61F9">
        <w:rPr>
          <w:rFonts w:ascii="Times New Roman" w:hAnsi="Times New Roman" w:cs="Times New Roman"/>
          <w:sz w:val="24"/>
          <w:szCs w:val="24"/>
        </w:rPr>
        <w:t>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C34693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2980"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C34693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</w:t>
            </w:r>
            <w:r w:rsidR="00C34693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§ </w:t>
            </w:r>
            <w:r w:rsidR="00C3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502E4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502E40" w:rsidRPr="005F61F9" w:rsidRDefault="00502E40" w:rsidP="00502E40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. Alkalmasság igazolásával kapcsolatos iratok (lehetséges, de nem kötelező az ajánlat részeként benyújtani, elegendő a Kbt. 69. § (4) bekezdése szerinti felhívás alapján csatolni).</w:t>
            </w:r>
          </w:p>
          <w:p w:rsidR="00502E40" w:rsidRDefault="00502E40" w:rsidP="00794587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Ajánlatkérő az ajánlattételi felhívásban műszaki és szakmai alkalmasság igazolására előírt igazolási mód helyett elfogadja ajánlattevő arra vonatkozó nyilatkozatát is, hogy megfelel az ajánlatkérő által előírt alkalmassági követelményeknek.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</w:t>
            </w:r>
          </w:p>
        </w:tc>
      </w:tr>
      <w:tr w:rsidR="00502E40" w:rsidRPr="005F61F9" w:rsidTr="00502E40">
        <w:trPr>
          <w:cantSplit/>
        </w:trPr>
        <w:tc>
          <w:tcPr>
            <w:tcW w:w="3119" w:type="dxa"/>
            <w:vAlign w:val="center"/>
          </w:tcPr>
          <w:p w:rsidR="00502E40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502E40" w:rsidRDefault="00502E40" w:rsidP="00794587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(Ajánlatkérő az ajánlattételi felhívásban a műszaki és szakmai alkalmasság igazolására előírt igazolási mód helyett elfogadja ajánlattevő arra vonatkozó nyilatkozatát is, hogy megfelel az ajánlatkérő által előírt alkalmassági követelményeknek – </w:t>
            </w:r>
            <w:r w:rsidR="0079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iratminta)</w:t>
            </w:r>
          </w:p>
        </w:tc>
        <w:tc>
          <w:tcPr>
            <w:tcW w:w="2311" w:type="dxa"/>
            <w:vAlign w:val="center"/>
          </w:tcPr>
          <w:p w:rsidR="00502E40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980" w:rsidRPr="005F61F9">
              <w:rPr>
                <w:rFonts w:ascii="Times New Roman" w:hAnsi="Times New Roman" w:cs="Times New Roman"/>
                <w:sz w:val="24"/>
                <w:szCs w:val="24"/>
              </w:rPr>
              <w:t>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másolatban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502E40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  <w:r w:rsidR="00502E40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502E4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502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2E40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="00502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2E40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="00502E40">
              <w:rPr>
                <w:rFonts w:ascii="Times New Roman" w:hAnsi="Times New Roman" w:cs="Times New Roman"/>
                <w:sz w:val="24"/>
                <w:szCs w:val="24"/>
              </w:rPr>
              <w:t>) formátumban is.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  <w:r w:rsidR="00C34693">
        <w:rPr>
          <w:rFonts w:ascii="Times New Roman" w:hAnsi="Times New Roman" w:cs="Times New Roman"/>
          <w:sz w:val="24"/>
          <w:szCs w:val="24"/>
        </w:rPr>
        <w:t xml:space="preserve"> </w:t>
      </w:r>
      <w:r w:rsidR="00C34693" w:rsidRPr="00C34693">
        <w:rPr>
          <w:rFonts w:ascii="Times New Roman" w:hAnsi="Times New Roman" w:cs="Times New Roman"/>
          <w:sz w:val="24"/>
          <w:szCs w:val="24"/>
        </w:rPr>
        <w:t xml:space="preserve">A meghatalmazásnak ki kell terjednie arra, hogy a közös ajánlattevők vagy részvételre jelentkezők képviseletére jogosult gazdasági szereplő adott eljárás tekintetében az </w:t>
      </w:r>
      <w:proofErr w:type="spellStart"/>
      <w:r w:rsidR="00C34693" w:rsidRPr="00C34693">
        <w:rPr>
          <w:rFonts w:ascii="Times New Roman" w:hAnsi="Times New Roman" w:cs="Times New Roman"/>
          <w:sz w:val="24"/>
          <w:szCs w:val="24"/>
        </w:rPr>
        <w:t>EKR-ben</w:t>
      </w:r>
      <w:proofErr w:type="spellEnd"/>
      <w:r w:rsidR="00C34693" w:rsidRPr="00C34693">
        <w:rPr>
          <w:rFonts w:ascii="Times New Roman" w:hAnsi="Times New Roman" w:cs="Times New Roman"/>
          <w:sz w:val="24"/>
          <w:szCs w:val="24"/>
        </w:rPr>
        <w:t xml:space="preserve"> elektronikus úton teendő nyilatkozatok megtételekor az egyes közös ajánlattevők vagy részvételre jelentkezők képviseletében eljárhat.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>Iratminták</w:t>
      </w:r>
    </w:p>
    <w:p w:rsidR="007C2980" w:rsidRPr="005F61F9" w:rsidRDefault="00C34693" w:rsidP="007C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Kbt.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7C2980" w:rsidRPr="005F61F9">
        <w:rPr>
          <w:rFonts w:ascii="Times New Roman" w:hAnsi="Times New Roman" w:cs="Times New Roman"/>
          <w:sz w:val="24"/>
          <w:szCs w:val="24"/>
        </w:rPr>
        <w:t>. § (2) bekezdés alapján</w:t>
      </w:r>
    </w:p>
    <w:p w:rsidR="00794587" w:rsidRDefault="00E03A59" w:rsidP="0079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6B44">
        <w:rPr>
          <w:rFonts w:ascii="Times New Roman" w:hAnsi="Times New Roman" w:cs="Times New Roman"/>
          <w:sz w:val="24"/>
          <w:szCs w:val="24"/>
        </w:rPr>
        <w:t>. sz. iratminta:</w:t>
      </w:r>
      <w:r w:rsidR="00794587" w:rsidRPr="00794587">
        <w:rPr>
          <w:rFonts w:ascii="Times New Roman" w:hAnsi="Times New Roman" w:cs="Times New Roman"/>
          <w:sz w:val="24"/>
          <w:szCs w:val="24"/>
        </w:rPr>
        <w:t xml:space="preserve"> </w:t>
      </w:r>
      <w:r w:rsidR="00794587" w:rsidRPr="005F61F9">
        <w:rPr>
          <w:rFonts w:ascii="Times New Roman" w:hAnsi="Times New Roman" w:cs="Times New Roman"/>
          <w:sz w:val="24"/>
          <w:szCs w:val="24"/>
        </w:rPr>
        <w:t>Referenciák bemutatása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sz. iratminta – Nyilatkozat </w:t>
      </w:r>
      <w:r w:rsidRPr="00682E6B">
        <w:rPr>
          <w:rFonts w:ascii="Times New Roman" w:hAnsi="Times New Roman" w:cs="Times New Roman"/>
          <w:sz w:val="24"/>
          <w:szCs w:val="24"/>
        </w:rPr>
        <w:t>műszaki és szakmai alkalmasságról</w:t>
      </w:r>
    </w:p>
    <w:p w:rsidR="00716B44" w:rsidRPr="005F61F9" w:rsidRDefault="00716B44" w:rsidP="007C2980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közbeszerzésekről szóló 2015. évi CXLIII. törvény (Kbt.) </w:t>
      </w:r>
      <w:r w:rsidR="00883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114. § (2) alapján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87" w:rsidRPr="00794587" w:rsidRDefault="0088356B" w:rsidP="00794587">
      <w:pPr>
        <w:tabs>
          <w:tab w:val="left" w:pos="21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38" w:rsidRPr="00FF2738">
        <w:rPr>
          <w:rFonts w:ascii="Times New Roman" w:hAnsi="Times New Roman" w:cs="Times New Roman"/>
          <w:i/>
          <w:sz w:val="24"/>
          <w:szCs w:val="24"/>
        </w:rPr>
        <w:t>Kerékpárút hálózat fejlesztése Gerendás-Csorvás</w:t>
      </w:r>
    </w:p>
    <w:p w:rsidR="007C2980" w:rsidRDefault="0088356B" w:rsidP="008835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FF2738">
        <w:rPr>
          <w:rFonts w:ascii="Times New Roman" w:hAnsi="Times New Roman" w:cs="Times New Roman"/>
          <w:i/>
          <w:sz w:val="24"/>
          <w:szCs w:val="24"/>
        </w:rPr>
        <w:t>Gerendás Község</w:t>
      </w:r>
      <w:r w:rsidR="00794587" w:rsidRPr="007945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5F61F9">
        <w:rPr>
          <w:rFonts w:ascii="Times New Roman" w:hAnsi="Times New Roman" w:cs="Times New Roman"/>
          <w:sz w:val="24"/>
          <w:szCs w:val="24"/>
        </w:rPr>
        <w:t>g)</w:t>
      </w:r>
      <w:proofErr w:type="spellStart"/>
      <w:r w:rsidR="00055166" w:rsidRPr="005F61F9">
        <w:rPr>
          <w:rFonts w:ascii="Times New Roman" w:hAnsi="Times New Roman" w:cs="Times New Roman"/>
          <w:sz w:val="24"/>
          <w:szCs w:val="24"/>
        </w:rPr>
        <w:t>-k</w:t>
      </w:r>
      <w:proofErr w:type="spellEnd"/>
      <w:r w:rsidR="00055166" w:rsidRPr="005F61F9">
        <w:rPr>
          <w:rFonts w:ascii="Times New Roman" w:hAnsi="Times New Roman" w:cs="Times New Roman"/>
          <w:sz w:val="24"/>
          <w:szCs w:val="24"/>
        </w:rPr>
        <w:t xml:space="preserve">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</w:t>
      </w:r>
      <w:r w:rsidR="00C31927"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="00C31927"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38" w:rsidRDefault="00FF2738" w:rsidP="00FF2738">
      <w:pPr>
        <w:rPr>
          <w:rFonts w:cs="Arial"/>
        </w:rPr>
      </w:pPr>
      <w:r>
        <w:rPr>
          <w:rFonts w:cs="Arial"/>
        </w:rPr>
        <w:t xml:space="preserve">Ajánlattal érintett </w:t>
      </w:r>
      <w:proofErr w:type="gramStart"/>
      <w:r>
        <w:rPr>
          <w:rFonts w:cs="Arial"/>
        </w:rPr>
        <w:t>rész(</w:t>
      </w:r>
      <w:proofErr w:type="spellStart"/>
      <w:proofErr w:type="gramEnd"/>
      <w:r>
        <w:rPr>
          <w:rFonts w:cs="Arial"/>
        </w:rPr>
        <w:t>ek</w:t>
      </w:r>
      <w:proofErr w:type="spellEnd"/>
      <w:r>
        <w:rPr>
          <w:rFonts w:cs="Arial"/>
        </w:rPr>
        <w:t>) sorszáma: ……………….</w:t>
      </w:r>
    </w:p>
    <w:p w:rsidR="00C34693" w:rsidRDefault="00C34693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93" w:rsidRDefault="00C34693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……….., 201</w:t>
      </w:r>
      <w:r w:rsidR="00C34693">
        <w:rPr>
          <w:rFonts w:ascii="Times New Roman" w:hAnsi="Times New Roman" w:cs="Times New Roman"/>
          <w:sz w:val="24"/>
          <w:szCs w:val="24"/>
        </w:rPr>
        <w:t>8.</w:t>
      </w:r>
      <w:r w:rsidRPr="005F61F9">
        <w:rPr>
          <w:rFonts w:ascii="Times New Roman" w:hAnsi="Times New Roman" w:cs="Times New Roman"/>
          <w:sz w:val="24"/>
          <w:szCs w:val="24"/>
        </w:rPr>
        <w:t xml:space="preserve">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2F" w:rsidRDefault="00D036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B44" w:rsidRPr="005F61F9" w:rsidRDefault="00E03A59" w:rsidP="00716B44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bookmarkStart w:id="0" w:name="_GoBack"/>
      <w:bookmarkEnd w:id="0"/>
      <w:r w:rsidR="00716B44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682E6B" w:rsidRPr="00CF183B" w:rsidRDefault="00682E6B" w:rsidP="00682E6B">
      <w:pPr>
        <w:pStyle w:val="Cmsor5"/>
        <w:tabs>
          <w:tab w:val="num" w:pos="567"/>
        </w:tabs>
        <w:jc w:val="center"/>
      </w:pPr>
      <w:r w:rsidRPr="00CF183B">
        <w:t>REFERENCIÁK ISMERTETÉSE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0"/>
        <w:gridCol w:w="3472"/>
      </w:tblGrid>
      <w:tr w:rsidR="00682E6B" w:rsidRPr="00CF183B" w:rsidTr="00365D95"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54661C" w:rsidRDefault="0054661C" w:rsidP="008066BD">
            <w:pPr>
              <w:tabs>
                <w:tab w:val="left" w:pos="3969"/>
              </w:tabs>
              <w:rPr>
                <w:rFonts w:cs="Arial"/>
                <w:b/>
                <w:bCs/>
              </w:rPr>
            </w:pPr>
          </w:p>
          <w:p w:rsidR="0054661C" w:rsidRPr="00794587" w:rsidRDefault="0054661C" w:rsidP="0054661C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eljárás tárgya: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8">
              <w:rPr>
                <w:rFonts w:ascii="Times New Roman" w:hAnsi="Times New Roman" w:cs="Times New Roman"/>
                <w:i/>
                <w:sz w:val="24"/>
                <w:szCs w:val="24"/>
              </w:rPr>
              <w:t>Kerékpárút hálóza</w:t>
            </w:r>
            <w:r w:rsidR="00365D9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F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fejlesztése Gerendás-Csorvás</w:t>
            </w:r>
          </w:p>
          <w:p w:rsidR="0054661C" w:rsidRDefault="0054661C" w:rsidP="005466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Ajánlatkérő: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Gerendás Község</w:t>
            </w:r>
            <w:r w:rsidRPr="00794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694D">
              <w:rPr>
                <w:rFonts w:ascii="Times New Roman" w:hAnsi="Times New Roman" w:cs="Times New Roman"/>
                <w:i/>
                <w:sz w:val="24"/>
                <w:szCs w:val="24"/>
              </w:rPr>
              <w:t>Önkormányzata</w:t>
            </w:r>
          </w:p>
          <w:p w:rsidR="0054661C" w:rsidRPr="005F61F9" w:rsidRDefault="0054661C" w:rsidP="005466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6B" w:rsidRPr="00CF183B" w:rsidRDefault="00682E6B" w:rsidP="008066BD">
            <w:pPr>
              <w:tabs>
                <w:tab w:val="left" w:pos="3969"/>
              </w:tabs>
              <w:rPr>
                <w:rFonts w:cs="Arial"/>
                <w:b/>
                <w:bCs/>
              </w:rPr>
            </w:pPr>
            <w:r w:rsidRPr="00CF183B">
              <w:rPr>
                <w:rFonts w:cs="Arial"/>
                <w:b/>
                <w:bCs/>
              </w:rPr>
              <w:t>Ajánlattevő: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682E6B" w:rsidRPr="00CF183B" w:rsidRDefault="00682E6B" w:rsidP="008066BD">
            <w:pPr>
              <w:tabs>
                <w:tab w:val="right" w:leader="underscore" w:pos="9000"/>
              </w:tabs>
              <w:rPr>
                <w:rFonts w:cs="Arial"/>
                <w:b/>
              </w:rPr>
            </w:pPr>
          </w:p>
        </w:tc>
      </w:tr>
      <w:tr w:rsidR="00682E6B" w:rsidRPr="00CF183B" w:rsidTr="00365D95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B" w:rsidRPr="00CF183B" w:rsidRDefault="00682E6B" w:rsidP="008066BD">
            <w:pPr>
              <w:tabs>
                <w:tab w:val="left" w:pos="3969"/>
              </w:tabs>
              <w:rPr>
                <w:rFonts w:cs="Arial"/>
              </w:rPr>
            </w:pPr>
            <w:r w:rsidRPr="00CF183B">
              <w:rPr>
                <w:rFonts w:cs="Arial"/>
              </w:rPr>
              <w:t>neve:</w:t>
            </w:r>
          </w:p>
          <w:p w:rsidR="00682E6B" w:rsidRPr="00CF183B" w:rsidRDefault="00682E6B" w:rsidP="008066BD">
            <w:pPr>
              <w:tabs>
                <w:tab w:val="right" w:leader="underscore" w:pos="9000"/>
              </w:tabs>
              <w:rPr>
                <w:rFonts w:cs="Arial"/>
                <w:b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B" w:rsidRPr="00CF183B" w:rsidRDefault="00682E6B" w:rsidP="008066BD">
            <w:pPr>
              <w:tabs>
                <w:tab w:val="left" w:pos="3969"/>
              </w:tabs>
              <w:rPr>
                <w:rFonts w:cs="Arial"/>
              </w:rPr>
            </w:pPr>
            <w:r w:rsidRPr="00CF183B">
              <w:rPr>
                <w:rFonts w:cs="Arial"/>
              </w:rPr>
              <w:t>címe:</w:t>
            </w:r>
          </w:p>
        </w:tc>
      </w:tr>
    </w:tbl>
    <w:p w:rsidR="00682E6B" w:rsidRPr="00CF183B" w:rsidRDefault="00682E6B" w:rsidP="00682E6B">
      <w:pPr>
        <w:tabs>
          <w:tab w:val="left" w:pos="426"/>
        </w:tabs>
        <w:spacing w:line="360" w:lineRule="auto"/>
      </w:pPr>
      <w:r w:rsidRPr="00CF183B">
        <w:t xml:space="preserve">Alulírott, mint ajánlattevő nyilatkozattételre jogosult képviselője a fenti közbeszerzési eljárás során a 321/2015. (X.30.) Korm. rendelet 21. § (2) </w:t>
      </w:r>
      <w:r>
        <w:t xml:space="preserve">bekezdés </w:t>
      </w:r>
      <w:r w:rsidRPr="00CF183B">
        <w:t>a) pontja alapján kijelentem, hogy az eljárást megindító felhívás feladásától visszafelé számított öt év legjelentősebb építési beruházásai az alábbiak voltak: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E6B" w:rsidRPr="00CF183B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  <w:r w:rsidRPr="00CF183B">
              <w:t>A teljesítés ideje (kezdő és befejező időpontja év/hó/nap pontossággal) és helye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  <w:r w:rsidRPr="00CF183B">
              <w:t>A szerződést kötő másik fél megnevezése (név, cím)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  <w:r w:rsidRPr="00CF183B">
              <w:t>Az építési beruházás tárgya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  <w:r w:rsidRPr="00CF183B">
              <w:t>Az építési beruházás mennyisége</w:t>
            </w:r>
          </w:p>
        </w:tc>
      </w:tr>
      <w:tr w:rsidR="00682E6B" w:rsidRPr="00CF183B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</w:tr>
      <w:tr w:rsidR="00682E6B" w:rsidRPr="00CF183B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</w:tr>
    </w:tbl>
    <w:p w:rsidR="00682E6B" w:rsidRPr="00CF183B" w:rsidRDefault="00682E6B" w:rsidP="00682E6B"/>
    <w:p w:rsidR="00682E6B" w:rsidRDefault="00682E6B" w:rsidP="00682E6B">
      <w:pPr>
        <w:tabs>
          <w:tab w:val="left" w:pos="426"/>
        </w:tabs>
        <w:spacing w:line="360" w:lineRule="auto"/>
      </w:pPr>
      <w:r>
        <w:t>A teljesítés az előírásoknak és a szerződésnek megfelelően történt.</w:t>
      </w:r>
    </w:p>
    <w:p w:rsidR="0054661C" w:rsidRDefault="0054661C" w:rsidP="0054661C">
      <w:pPr>
        <w:rPr>
          <w:rFonts w:cs="Arial"/>
        </w:rPr>
      </w:pPr>
      <w:r>
        <w:rPr>
          <w:rFonts w:cs="Arial"/>
        </w:rPr>
        <w:t xml:space="preserve">Ajánlattal érintett </w:t>
      </w:r>
      <w:proofErr w:type="gramStart"/>
      <w:r>
        <w:rPr>
          <w:rFonts w:cs="Arial"/>
        </w:rPr>
        <w:t>rész(</w:t>
      </w:r>
      <w:proofErr w:type="spellStart"/>
      <w:proofErr w:type="gramEnd"/>
      <w:r>
        <w:rPr>
          <w:rFonts w:cs="Arial"/>
        </w:rPr>
        <w:t>ek</w:t>
      </w:r>
      <w:proofErr w:type="spellEnd"/>
      <w:r>
        <w:rPr>
          <w:rFonts w:cs="Arial"/>
        </w:rPr>
        <w:t>) sorszáma: ……………….</w:t>
      </w:r>
    </w:p>
    <w:p w:rsidR="00682E6B" w:rsidRPr="00CF183B" w:rsidRDefault="00682E6B" w:rsidP="00682E6B">
      <w:pPr>
        <w:rPr>
          <w:rFonts w:cs="Arial"/>
        </w:rPr>
      </w:pPr>
    </w:p>
    <w:p w:rsidR="00682E6B" w:rsidRPr="00CF183B" w:rsidRDefault="00682E6B" w:rsidP="00682E6B">
      <w:r w:rsidRPr="00CF183B">
        <w:t>Dátum</w:t>
      </w:r>
      <w:proofErr w:type="gramStart"/>
      <w:r w:rsidRPr="00CF183B">
        <w:t>: ..</w:t>
      </w:r>
      <w:proofErr w:type="gramEnd"/>
      <w:r w:rsidRPr="00CF183B">
        <w:t>.................</w:t>
      </w:r>
    </w:p>
    <w:p w:rsidR="00682E6B" w:rsidRPr="00CF183B" w:rsidRDefault="00682E6B" w:rsidP="00682E6B">
      <w:pPr>
        <w:tabs>
          <w:tab w:val="center" w:pos="6804"/>
        </w:tabs>
      </w:pPr>
      <w:r w:rsidRPr="00CF183B">
        <w:tab/>
        <w:t>...............................................</w:t>
      </w:r>
    </w:p>
    <w:p w:rsidR="00682E6B" w:rsidRPr="00CF183B" w:rsidRDefault="00682E6B" w:rsidP="00682E6B">
      <w:pPr>
        <w:tabs>
          <w:tab w:val="center" w:pos="6804"/>
        </w:tabs>
      </w:pPr>
      <w:r w:rsidRPr="00CF183B">
        <w:tab/>
      </w:r>
      <w:proofErr w:type="gramStart"/>
      <w:r w:rsidRPr="00CF183B">
        <w:t>aláírás</w:t>
      </w:r>
      <w:proofErr w:type="gramEnd"/>
    </w:p>
    <w:p w:rsidR="00716B44" w:rsidRPr="005F61F9" w:rsidRDefault="00716B44" w:rsidP="00716B44">
      <w:pPr>
        <w:rPr>
          <w:rFonts w:ascii="Times New Roman" w:hAnsi="Times New Roman" w:cs="Times New Roman"/>
          <w:sz w:val="24"/>
          <w:szCs w:val="24"/>
        </w:rPr>
      </w:pPr>
    </w:p>
    <w:p w:rsidR="00716B44" w:rsidRPr="005F61F9" w:rsidRDefault="00716B44" w:rsidP="00716B44">
      <w:pPr>
        <w:rPr>
          <w:rFonts w:ascii="Times New Roman" w:hAnsi="Times New Roman" w:cs="Times New Roman"/>
          <w:sz w:val="24"/>
          <w:szCs w:val="24"/>
        </w:rPr>
      </w:pPr>
    </w:p>
    <w:p w:rsidR="00682E6B" w:rsidRDefault="00682E6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82E6B" w:rsidRPr="005453E9" w:rsidRDefault="00682E6B" w:rsidP="00682E6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3E9">
        <w:rPr>
          <w:rFonts w:ascii="Times New Roman" w:hAnsi="Times New Roman" w:cs="Times New Roman"/>
          <w:b/>
          <w:sz w:val="24"/>
          <w:szCs w:val="24"/>
        </w:rPr>
        <w:t>műszaki</w:t>
      </w:r>
      <w:proofErr w:type="gramEnd"/>
      <w:r w:rsidRPr="005453E9">
        <w:rPr>
          <w:rFonts w:ascii="Times New Roman" w:hAnsi="Times New Roman" w:cs="Times New Roman"/>
          <w:b/>
          <w:sz w:val="24"/>
          <w:szCs w:val="24"/>
        </w:rPr>
        <w:t xml:space="preserve"> és szakmai alkalmasságról a Kbt. 67. § (1) bekezdés vonatkozásában a 114. § (2) bekezdésében foglaltak, valamint a 321/2015. (X. 30.) Korm. rendelet 25. § (2) bekezdésének figyelembevételével</w:t>
      </w:r>
    </w:p>
    <w:p w:rsidR="00D54440" w:rsidRPr="00794587" w:rsidRDefault="00D54440" w:rsidP="00D54440">
      <w:pPr>
        <w:tabs>
          <w:tab w:val="left" w:pos="21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738">
        <w:rPr>
          <w:rFonts w:ascii="Times New Roman" w:hAnsi="Times New Roman" w:cs="Times New Roman"/>
          <w:i/>
          <w:sz w:val="24"/>
          <w:szCs w:val="24"/>
        </w:rPr>
        <w:t>Kerékpárút hálózat fejlesztése Gerendás-Csorvás</w:t>
      </w:r>
    </w:p>
    <w:p w:rsidR="00D54440" w:rsidRDefault="00D54440" w:rsidP="00D544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i/>
          <w:sz w:val="24"/>
          <w:szCs w:val="24"/>
        </w:rPr>
        <w:t>Gerendás Község</w:t>
      </w:r>
      <w:r w:rsidRPr="007945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682E6B" w:rsidRPr="005F61F9" w:rsidRDefault="00682E6B" w:rsidP="00682E6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III.1.3)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rPr>
          <w:rFonts w:cs="Arial"/>
        </w:rPr>
      </w:pPr>
      <w:r>
        <w:rPr>
          <w:rFonts w:cs="Arial"/>
        </w:rPr>
        <w:t xml:space="preserve">Ajánlattal érintett </w:t>
      </w:r>
      <w:proofErr w:type="gramStart"/>
      <w:r>
        <w:rPr>
          <w:rFonts w:cs="Arial"/>
        </w:rPr>
        <w:t>rész(</w:t>
      </w:r>
      <w:proofErr w:type="spellStart"/>
      <w:proofErr w:type="gramEnd"/>
      <w:r>
        <w:rPr>
          <w:rFonts w:cs="Arial"/>
        </w:rPr>
        <w:t>ek</w:t>
      </w:r>
      <w:proofErr w:type="spellEnd"/>
      <w:r>
        <w:rPr>
          <w:rFonts w:cs="Arial"/>
        </w:rPr>
        <w:t>) sorszáma: ……………….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.................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682E6B" w:rsidRPr="005F61F9" w:rsidRDefault="00682E6B" w:rsidP="00682E6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8E" w:rsidRDefault="0048228E" w:rsidP="007C2980">
      <w:pPr>
        <w:spacing w:after="0" w:line="240" w:lineRule="auto"/>
      </w:pPr>
      <w:r>
        <w:separator/>
      </w:r>
    </w:p>
  </w:endnote>
  <w:endnote w:type="continuationSeparator" w:id="0">
    <w:p w:rsidR="0048228E" w:rsidRDefault="0048228E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8E" w:rsidRDefault="0048228E" w:rsidP="007C2980">
      <w:pPr>
        <w:spacing w:after="0" w:line="240" w:lineRule="auto"/>
      </w:pPr>
      <w:r>
        <w:separator/>
      </w:r>
    </w:p>
  </w:footnote>
  <w:footnote w:type="continuationSeparator" w:id="0">
    <w:p w:rsidR="0048228E" w:rsidRDefault="0048228E" w:rsidP="007C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02FEC"/>
    <w:rsid w:val="000255BB"/>
    <w:rsid w:val="000441FB"/>
    <w:rsid w:val="00055166"/>
    <w:rsid w:val="00082804"/>
    <w:rsid w:val="000A7325"/>
    <w:rsid w:val="000B6419"/>
    <w:rsid w:val="00111CEE"/>
    <w:rsid w:val="001148ED"/>
    <w:rsid w:val="00122FA5"/>
    <w:rsid w:val="00174DB0"/>
    <w:rsid w:val="00196C49"/>
    <w:rsid w:val="001A7EA5"/>
    <w:rsid w:val="001C4B01"/>
    <w:rsid w:val="001D3703"/>
    <w:rsid w:val="001D5DBF"/>
    <w:rsid w:val="001F052A"/>
    <w:rsid w:val="00210166"/>
    <w:rsid w:val="00215945"/>
    <w:rsid w:val="002159D8"/>
    <w:rsid w:val="002235F4"/>
    <w:rsid w:val="0024140A"/>
    <w:rsid w:val="0025722A"/>
    <w:rsid w:val="00295FBF"/>
    <w:rsid w:val="002C6692"/>
    <w:rsid w:val="002E034D"/>
    <w:rsid w:val="003038E6"/>
    <w:rsid w:val="00333CBF"/>
    <w:rsid w:val="00365D95"/>
    <w:rsid w:val="003907CE"/>
    <w:rsid w:val="00390D6A"/>
    <w:rsid w:val="003A26E7"/>
    <w:rsid w:val="003B2754"/>
    <w:rsid w:val="003B3E1F"/>
    <w:rsid w:val="003E1259"/>
    <w:rsid w:val="00412CFD"/>
    <w:rsid w:val="00416CC6"/>
    <w:rsid w:val="00431D51"/>
    <w:rsid w:val="0043379B"/>
    <w:rsid w:val="004561BA"/>
    <w:rsid w:val="0048228E"/>
    <w:rsid w:val="004909F7"/>
    <w:rsid w:val="004A2D9D"/>
    <w:rsid w:val="004B4A03"/>
    <w:rsid w:val="004C0E53"/>
    <w:rsid w:val="004D2100"/>
    <w:rsid w:val="00502E40"/>
    <w:rsid w:val="0052627D"/>
    <w:rsid w:val="005301EA"/>
    <w:rsid w:val="00537DAD"/>
    <w:rsid w:val="0054661C"/>
    <w:rsid w:val="005717B9"/>
    <w:rsid w:val="0059611F"/>
    <w:rsid w:val="005B58F0"/>
    <w:rsid w:val="005C7C7E"/>
    <w:rsid w:val="005F61F9"/>
    <w:rsid w:val="0060648D"/>
    <w:rsid w:val="00631DFD"/>
    <w:rsid w:val="00682E6B"/>
    <w:rsid w:val="006A5213"/>
    <w:rsid w:val="006A694B"/>
    <w:rsid w:val="006C694D"/>
    <w:rsid w:val="006E3CD7"/>
    <w:rsid w:val="00716B44"/>
    <w:rsid w:val="00724A42"/>
    <w:rsid w:val="007476C9"/>
    <w:rsid w:val="00781977"/>
    <w:rsid w:val="00794587"/>
    <w:rsid w:val="00795AF1"/>
    <w:rsid w:val="007A0884"/>
    <w:rsid w:val="007C2980"/>
    <w:rsid w:val="00815F13"/>
    <w:rsid w:val="00827BDD"/>
    <w:rsid w:val="0088356B"/>
    <w:rsid w:val="00897F41"/>
    <w:rsid w:val="008D7672"/>
    <w:rsid w:val="008F412E"/>
    <w:rsid w:val="009577F8"/>
    <w:rsid w:val="00976262"/>
    <w:rsid w:val="009A091E"/>
    <w:rsid w:val="009E6891"/>
    <w:rsid w:val="009F2F9A"/>
    <w:rsid w:val="00A80149"/>
    <w:rsid w:val="00A914BD"/>
    <w:rsid w:val="00B100AF"/>
    <w:rsid w:val="00B15496"/>
    <w:rsid w:val="00B34B24"/>
    <w:rsid w:val="00B6103D"/>
    <w:rsid w:val="00B84C25"/>
    <w:rsid w:val="00BA17BA"/>
    <w:rsid w:val="00BA4046"/>
    <w:rsid w:val="00BD2DF8"/>
    <w:rsid w:val="00BE1EAF"/>
    <w:rsid w:val="00C31649"/>
    <w:rsid w:val="00C31927"/>
    <w:rsid w:val="00C34693"/>
    <w:rsid w:val="00C36BC7"/>
    <w:rsid w:val="00C67507"/>
    <w:rsid w:val="00C71D36"/>
    <w:rsid w:val="00C910E2"/>
    <w:rsid w:val="00CE08B1"/>
    <w:rsid w:val="00CE204C"/>
    <w:rsid w:val="00D0362F"/>
    <w:rsid w:val="00D34718"/>
    <w:rsid w:val="00D368B4"/>
    <w:rsid w:val="00D40E23"/>
    <w:rsid w:val="00D533E9"/>
    <w:rsid w:val="00D54440"/>
    <w:rsid w:val="00D76D14"/>
    <w:rsid w:val="00DE5C6A"/>
    <w:rsid w:val="00E03A59"/>
    <w:rsid w:val="00E13A4A"/>
    <w:rsid w:val="00E64435"/>
    <w:rsid w:val="00E95275"/>
    <w:rsid w:val="00ED0A2E"/>
    <w:rsid w:val="00ED4A9E"/>
    <w:rsid w:val="00F22008"/>
    <w:rsid w:val="00FB3659"/>
    <w:rsid w:val="00FE4F5C"/>
    <w:rsid w:val="00FF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paragraph" w:styleId="Cmsor5">
    <w:name w:val="heading 5"/>
    <w:basedOn w:val="Norml"/>
    <w:next w:val="Norml"/>
    <w:link w:val="Cmsor5Char"/>
    <w:uiPriority w:val="99"/>
    <w:qFormat/>
    <w:rsid w:val="00682E6B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uiPriority w:val="99"/>
    <w:rsid w:val="00682E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1199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11</cp:revision>
  <dcterms:created xsi:type="dcterms:W3CDTF">2018-06-26T18:47:00Z</dcterms:created>
  <dcterms:modified xsi:type="dcterms:W3CDTF">2018-07-06T13:30:00Z</dcterms:modified>
</cp:coreProperties>
</file>